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text" w:horzAnchor="margin" w:tblpY="-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839"/>
      </w:tblGrid>
      <w:tr w:rsidR="002A4602" w14:paraId="5349174E" w14:textId="77777777" w:rsidTr="00610320">
        <w:trPr>
          <w:trHeight w:val="346"/>
        </w:trPr>
        <w:tc>
          <w:tcPr>
            <w:tcW w:w="5908" w:type="dxa"/>
          </w:tcPr>
          <w:p w14:paraId="57C70599" w14:textId="77777777" w:rsidR="002A4602" w:rsidRPr="003D7522" w:rsidRDefault="002A4602" w:rsidP="002A4602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</w:p>
          <w:p w14:paraId="092E9A5F" w14:textId="77777777" w:rsidR="002A4602" w:rsidRPr="0017563E" w:rsidRDefault="002A4602" w:rsidP="002A4602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  <w:r w:rsidRPr="00390ABC">
              <w:rPr>
                <w:noProof/>
                <w:lang w:eastAsia="ru-RU"/>
              </w:rPr>
              <w:drawing>
                <wp:inline distT="0" distB="0" distL="0" distR="0" wp14:anchorId="50FDA026" wp14:editId="375E9770">
                  <wp:extent cx="2552700" cy="716083"/>
                  <wp:effectExtent l="0" t="0" r="0" b="8255"/>
                  <wp:docPr id="4" name="Рисунок 4" descr="C:\Users\shilenkova_ya\Desktop\БРЕНД-БУК\энергосбыт вол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enkova_ya\Desktop\БРЕНД-БУК\энергосбыт вол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15" cy="73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4F58B" w14:textId="77777777" w:rsidR="002A4602" w:rsidRDefault="002A4602" w:rsidP="002A4602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</w:p>
          <w:p w14:paraId="12457C83" w14:textId="77777777" w:rsidR="002A4602" w:rsidRPr="00FF4A93" w:rsidRDefault="002A4602" w:rsidP="002A46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55BD0B" w14:textId="77777777" w:rsidR="002A4602" w:rsidRPr="00FE34A2" w:rsidRDefault="002A4602" w:rsidP="002A46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  <w:vMerge w:val="restart"/>
          </w:tcPr>
          <w:p w14:paraId="53424814" w14:textId="77777777" w:rsidR="002A4602" w:rsidRDefault="002A4602" w:rsidP="002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17707" w14:textId="77777777" w:rsidR="004B3754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600000</w:t>
            </w: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 xml:space="preserve">, Владимирская область, г. Владимир, </w:t>
            </w:r>
          </w:p>
          <w:p w14:paraId="10102AC0" w14:textId="77777777" w:rsidR="004B3754" w:rsidRPr="000E52DF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 xml:space="preserve">Октябрьский проспект, д.10А, этаж </w:t>
            </w:r>
            <w:r w:rsidRPr="000E52DF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, помещение 3-5</w:t>
            </w:r>
          </w:p>
          <w:p w14:paraId="5744CE1B" w14:textId="2F0FE57E" w:rsidR="004B3754" w:rsidRPr="00171BB9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Тел</w:t>
            </w:r>
            <w:r w:rsidRPr="00FE34A2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 xml:space="preserve">.: </w:t>
            </w:r>
            <w:r w:rsidRPr="00171BB9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8 (4922) 37-16-33 (</w:t>
            </w:r>
            <w:proofErr w:type="spellStart"/>
            <w:r>
              <w:rPr>
                <w:rFonts w:ascii="Tahoma" w:hAnsi="Tahoma" w:cs="Tahoma"/>
                <w:color w:val="1F3864" w:themeColor="accent5" w:themeShade="80"/>
                <w:sz w:val="16"/>
                <w:szCs w:val="16"/>
              </w:rPr>
              <w:t>вн</w:t>
            </w:r>
            <w:proofErr w:type="spellEnd"/>
            <w:r w:rsidRPr="00171BB9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.29-12</w:t>
            </w:r>
            <w:r w:rsidRPr="008244EC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, 29-15</w:t>
            </w:r>
            <w:r w:rsidRPr="00171BB9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)</w:t>
            </w:r>
          </w:p>
          <w:p w14:paraId="05A3D128" w14:textId="77777777" w:rsidR="004B3754" w:rsidRPr="00FE34A2" w:rsidRDefault="004B3754" w:rsidP="004B3754">
            <w:pPr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</w:pP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E</w:t>
            </w:r>
            <w:r w:rsidRPr="00FE34A2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-</w:t>
            </w:r>
            <w:r w:rsidRPr="004600B1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>mail</w:t>
            </w:r>
            <w:r w:rsidRPr="00FE34A2">
              <w:rPr>
                <w:rFonts w:ascii="Tahoma" w:hAnsi="Tahoma" w:cs="Tahoma"/>
                <w:color w:val="1F3864" w:themeColor="accent5" w:themeShade="80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4B3754">
                <w:rPr>
                  <w:rStyle w:val="a7"/>
                  <w:rFonts w:ascii="Tahoma" w:hAnsi="Tahoma" w:cs="Tahoma"/>
                  <w:color w:val="44546A" w:themeColor="text2"/>
                  <w:sz w:val="16"/>
                  <w:szCs w:val="16"/>
                  <w:lang w:val="en-US"/>
                </w:rPr>
                <w:t>pressa@esbvolga.ru</w:t>
              </w:r>
            </w:hyperlink>
          </w:p>
          <w:p w14:paraId="789B9BDB" w14:textId="77777777" w:rsidR="004B3754" w:rsidRPr="00171BB9" w:rsidRDefault="009B6780" w:rsidP="004B3754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4B3754" w:rsidRPr="004600B1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www</w:t>
              </w:r>
              <w:r w:rsidR="004B3754" w:rsidRPr="00FF4A93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.</w:t>
              </w:r>
              <w:r w:rsidR="004B3754" w:rsidRPr="004600B1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esbvolga</w:t>
              </w:r>
              <w:r w:rsidR="004B3754" w:rsidRPr="00FF4A93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.</w:t>
              </w:r>
              <w:r w:rsidR="004B3754" w:rsidRPr="004600B1">
                <w:rPr>
                  <w:rStyle w:val="a7"/>
                  <w:rFonts w:ascii="Tahoma" w:hAnsi="Tahoma" w:cs="Tahoma"/>
                  <w:color w:val="1F3864" w:themeColor="accent5" w:themeShade="80"/>
                  <w:sz w:val="16"/>
                  <w:szCs w:val="16"/>
                  <w:lang w:val="en-US"/>
                </w:rPr>
                <w:t>ru</w:t>
              </w:r>
            </w:hyperlink>
          </w:p>
          <w:p w14:paraId="30D4157D" w14:textId="77777777" w:rsidR="002A4602" w:rsidRPr="0029783A" w:rsidRDefault="002A4602" w:rsidP="002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02" w:rsidRPr="00610320" w14:paraId="0D9FE71C" w14:textId="77777777" w:rsidTr="00610320">
        <w:trPr>
          <w:trHeight w:val="63"/>
        </w:trPr>
        <w:tc>
          <w:tcPr>
            <w:tcW w:w="5908" w:type="dxa"/>
            <w:vAlign w:val="bottom"/>
          </w:tcPr>
          <w:p w14:paraId="360FDC56" w14:textId="2546DA4D" w:rsidR="00610320" w:rsidRPr="00610320" w:rsidRDefault="00610320" w:rsidP="002A460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839" w:type="dxa"/>
            <w:vMerge/>
          </w:tcPr>
          <w:p w14:paraId="19849048" w14:textId="77777777" w:rsidR="002A4602" w:rsidRPr="00610320" w:rsidRDefault="002A4602" w:rsidP="002A460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F2C837A" w14:textId="06B533E8" w:rsidR="00610320" w:rsidRPr="00610320" w:rsidRDefault="00F54F01" w:rsidP="004B3754">
      <w:pPr>
        <w:tabs>
          <w:tab w:val="left" w:pos="1890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</w:t>
      </w:r>
      <w:r w:rsidR="00246952">
        <w:rPr>
          <w:rFonts w:ascii="Tahoma" w:hAnsi="Tahoma" w:cs="Tahoma"/>
          <w:b/>
          <w:bCs/>
          <w:sz w:val="20"/>
          <w:szCs w:val="20"/>
        </w:rPr>
        <w:t>.</w:t>
      </w:r>
      <w:r w:rsidR="0079424B">
        <w:rPr>
          <w:rFonts w:ascii="Tahoma" w:hAnsi="Tahoma" w:cs="Tahoma"/>
          <w:b/>
          <w:bCs/>
          <w:sz w:val="20"/>
          <w:szCs w:val="20"/>
        </w:rPr>
        <w:t>0</w:t>
      </w:r>
      <w:r w:rsidR="005A653A">
        <w:rPr>
          <w:rFonts w:ascii="Tahoma" w:hAnsi="Tahoma" w:cs="Tahoma"/>
          <w:b/>
          <w:bCs/>
          <w:sz w:val="20"/>
          <w:szCs w:val="20"/>
        </w:rPr>
        <w:t>3</w:t>
      </w:r>
      <w:r w:rsidR="00EF4D98">
        <w:rPr>
          <w:rFonts w:ascii="Tahoma" w:hAnsi="Tahoma" w:cs="Tahoma"/>
          <w:b/>
          <w:bCs/>
          <w:sz w:val="20"/>
          <w:szCs w:val="20"/>
        </w:rPr>
        <w:t>.202</w:t>
      </w:r>
      <w:r w:rsidR="0079424B">
        <w:rPr>
          <w:rFonts w:ascii="Tahoma" w:hAnsi="Tahoma" w:cs="Tahoma"/>
          <w:b/>
          <w:bCs/>
          <w:sz w:val="20"/>
          <w:szCs w:val="20"/>
        </w:rPr>
        <w:t>3</w:t>
      </w:r>
    </w:p>
    <w:p w14:paraId="7DC79947" w14:textId="77777777" w:rsidR="00432FD2" w:rsidRDefault="00610320" w:rsidP="00432FD2">
      <w:pPr>
        <w:tabs>
          <w:tab w:val="left" w:pos="1890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052BBE">
        <w:rPr>
          <w:rFonts w:ascii="Tahoma" w:hAnsi="Tahoma" w:cs="Tahoma"/>
          <w:b/>
          <w:bCs/>
        </w:rPr>
        <w:t>Пресс-релиз</w:t>
      </w:r>
    </w:p>
    <w:p w14:paraId="62759BD6" w14:textId="6013E1A4" w:rsidR="001B691C" w:rsidRDefault="00084E6E" w:rsidP="0079424B">
      <w:pPr>
        <w:tabs>
          <w:tab w:val="left" w:pos="1890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 xml:space="preserve">«Энергосбыт Волга» </w:t>
      </w:r>
      <w:r w:rsidR="001B691C">
        <w:rPr>
          <w:rFonts w:ascii="Tahoma" w:hAnsi="Tahoma" w:cs="Tahoma"/>
          <w:b/>
          <w:sz w:val="24"/>
          <w:szCs w:val="24"/>
        </w:rPr>
        <w:t>информирует о способах передачи показаний</w:t>
      </w:r>
      <w:r w:rsidR="00797256">
        <w:rPr>
          <w:rFonts w:ascii="Tahoma" w:hAnsi="Tahoma" w:cs="Tahoma"/>
          <w:b/>
          <w:sz w:val="24"/>
          <w:szCs w:val="24"/>
        </w:rPr>
        <w:t xml:space="preserve"> счётчиков</w:t>
      </w:r>
      <w:r w:rsidR="001B691C">
        <w:rPr>
          <w:rFonts w:ascii="Tahoma" w:hAnsi="Tahoma" w:cs="Tahoma"/>
          <w:b/>
          <w:sz w:val="24"/>
          <w:szCs w:val="24"/>
        </w:rPr>
        <w:t xml:space="preserve"> </w:t>
      </w:r>
    </w:p>
    <w:bookmarkEnd w:id="0"/>
    <w:p w14:paraId="645196CA" w14:textId="76A4BFE2" w:rsidR="00797256" w:rsidRDefault="0048424C" w:rsidP="0048424C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«Энергосбыт Волга» напоминает, что передать показания счётчиков </w:t>
      </w:r>
      <w:r w:rsidR="0011283A">
        <w:rPr>
          <w:rFonts w:ascii="Tahoma" w:hAnsi="Tahoma" w:cs="Tahoma"/>
          <w:sz w:val="24"/>
          <w:szCs w:val="24"/>
        </w:rPr>
        <w:t xml:space="preserve">электроэнергии </w:t>
      </w:r>
      <w:r>
        <w:rPr>
          <w:rFonts w:ascii="Tahoma" w:hAnsi="Tahoma" w:cs="Tahoma"/>
          <w:sz w:val="24"/>
          <w:szCs w:val="24"/>
        </w:rPr>
        <w:t xml:space="preserve">необходимо до 25 </w:t>
      </w:r>
      <w:r w:rsidR="00797256">
        <w:rPr>
          <w:rFonts w:ascii="Tahoma" w:hAnsi="Tahoma" w:cs="Tahoma"/>
          <w:sz w:val="24"/>
          <w:szCs w:val="24"/>
        </w:rPr>
        <w:t xml:space="preserve">марта. </w:t>
      </w:r>
      <w:r w:rsidR="00180026">
        <w:rPr>
          <w:rFonts w:ascii="Tahoma" w:hAnsi="Tahoma" w:cs="Tahoma"/>
          <w:sz w:val="24"/>
          <w:szCs w:val="24"/>
        </w:rPr>
        <w:t xml:space="preserve">Это позволит сделать корректные расчёты. </w:t>
      </w:r>
      <w:r w:rsidR="00797256">
        <w:rPr>
          <w:rFonts w:ascii="Tahoma" w:hAnsi="Tahoma" w:cs="Tahoma"/>
          <w:sz w:val="24"/>
          <w:szCs w:val="24"/>
        </w:rPr>
        <w:t>Компания предлагает семь дистанционных сервисов</w:t>
      </w:r>
      <w:r w:rsidR="00247E6E">
        <w:rPr>
          <w:rFonts w:ascii="Tahoma" w:hAnsi="Tahoma" w:cs="Tahoma"/>
          <w:sz w:val="24"/>
          <w:szCs w:val="24"/>
        </w:rPr>
        <w:t xml:space="preserve">, которые дают возможность передавать показания без посещения клиентских офисов, из любой точки с доступом к телефону и интернету. </w:t>
      </w:r>
      <w:r w:rsidR="00797256">
        <w:rPr>
          <w:rFonts w:ascii="Tahoma" w:hAnsi="Tahoma" w:cs="Tahoma"/>
          <w:sz w:val="24"/>
          <w:szCs w:val="24"/>
        </w:rPr>
        <w:t xml:space="preserve"> </w:t>
      </w:r>
    </w:p>
    <w:p w14:paraId="52A82D8B" w14:textId="761D0CC5" w:rsidR="00180026" w:rsidRDefault="00180026" w:rsidP="00797256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удобства клиентов реализована возможность передавать показания приборов учёта</w:t>
      </w:r>
      <w:r w:rsidR="00F5192C">
        <w:rPr>
          <w:rFonts w:ascii="Tahoma" w:hAnsi="Tahoma" w:cs="Tahoma"/>
          <w:sz w:val="24"/>
          <w:szCs w:val="24"/>
        </w:rPr>
        <w:t xml:space="preserve"> электроэнергии</w:t>
      </w:r>
      <w:r>
        <w:rPr>
          <w:rFonts w:ascii="Tahoma" w:hAnsi="Tahoma" w:cs="Tahoma"/>
          <w:sz w:val="24"/>
          <w:szCs w:val="24"/>
        </w:rPr>
        <w:t xml:space="preserve"> </w:t>
      </w:r>
      <w:r w:rsidR="00797256" w:rsidRPr="0024639C">
        <w:rPr>
          <w:rFonts w:ascii="Tahoma" w:hAnsi="Tahoma" w:cs="Tahoma"/>
          <w:sz w:val="24"/>
          <w:szCs w:val="24"/>
        </w:rPr>
        <w:t>через го</w:t>
      </w:r>
      <w:r w:rsidR="00797256">
        <w:rPr>
          <w:rFonts w:ascii="Tahoma" w:hAnsi="Tahoma" w:cs="Tahoma"/>
          <w:sz w:val="24"/>
          <w:szCs w:val="24"/>
        </w:rPr>
        <w:t xml:space="preserve">лосового помощника по телефону </w:t>
      </w:r>
      <w:r w:rsidR="00797256" w:rsidRPr="0024639C">
        <w:rPr>
          <w:rFonts w:ascii="Tahoma" w:hAnsi="Tahoma" w:cs="Tahoma"/>
          <w:sz w:val="24"/>
          <w:szCs w:val="24"/>
        </w:rPr>
        <w:t>горячей линии +7 (4922) 77-30-00</w:t>
      </w:r>
      <w:r>
        <w:rPr>
          <w:rFonts w:ascii="Tahoma" w:hAnsi="Tahoma" w:cs="Tahoma"/>
          <w:sz w:val="24"/>
          <w:szCs w:val="24"/>
        </w:rPr>
        <w:t>.</w:t>
      </w:r>
      <w:r w:rsidR="00247E6E">
        <w:rPr>
          <w:rFonts w:ascii="Tahoma" w:hAnsi="Tahoma" w:cs="Tahoma"/>
          <w:sz w:val="24"/>
          <w:szCs w:val="24"/>
        </w:rPr>
        <w:t xml:space="preserve"> </w:t>
      </w:r>
      <w:r w:rsidR="00326599">
        <w:rPr>
          <w:rFonts w:ascii="Tahoma" w:hAnsi="Tahoma" w:cs="Tahoma"/>
          <w:sz w:val="24"/>
          <w:szCs w:val="24"/>
        </w:rPr>
        <w:t xml:space="preserve">Сервис доступен круглосуточно. </w:t>
      </w:r>
    </w:p>
    <w:p w14:paraId="1125D121" w14:textId="6D9060A5" w:rsidR="00797256" w:rsidRDefault="00326599" w:rsidP="00797256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Передать показания счётчика электроэнергии также можно </w:t>
      </w:r>
      <w:r w:rsidR="00797256" w:rsidRPr="0024639C">
        <w:rPr>
          <w:rFonts w:ascii="Tahoma" w:hAnsi="Tahoma" w:cs="Tahoma"/>
          <w:sz w:val="24"/>
          <w:szCs w:val="24"/>
        </w:rPr>
        <w:t>через SMS на единый номер телефона 8 (910) 671-92-62</w:t>
      </w:r>
      <w:r>
        <w:rPr>
          <w:rFonts w:ascii="Tahoma" w:hAnsi="Tahoma" w:cs="Tahoma"/>
          <w:sz w:val="24"/>
          <w:szCs w:val="24"/>
        </w:rPr>
        <w:t>. С</w:t>
      </w:r>
      <w:r w:rsidR="00797256" w:rsidRPr="0024639C">
        <w:rPr>
          <w:rFonts w:ascii="Tahoma" w:hAnsi="Tahoma" w:cs="Tahoma"/>
          <w:sz w:val="24"/>
          <w:szCs w:val="24"/>
        </w:rPr>
        <w:t>ообщение набирается без пробелов. Формат сообщения должен быть следующий: номер лицевого счёта – 10 ци</w:t>
      </w:r>
      <w:r w:rsidR="00797256">
        <w:rPr>
          <w:rFonts w:ascii="Tahoma" w:hAnsi="Tahoma" w:cs="Tahoma"/>
          <w:sz w:val="24"/>
          <w:szCs w:val="24"/>
        </w:rPr>
        <w:t xml:space="preserve">фр, знак #, показания счётчика, </w:t>
      </w:r>
      <w:proofErr w:type="gramStart"/>
      <w:r w:rsidR="00797256" w:rsidRPr="0024639C">
        <w:rPr>
          <w:rFonts w:ascii="Tahoma" w:hAnsi="Tahoma" w:cs="Tahoma"/>
          <w:sz w:val="24"/>
          <w:szCs w:val="24"/>
        </w:rPr>
        <w:t>например</w:t>
      </w:r>
      <w:proofErr w:type="gramEnd"/>
      <w:r w:rsidR="00797256" w:rsidRPr="0024639C">
        <w:rPr>
          <w:rFonts w:ascii="Tahoma" w:hAnsi="Tahoma" w:cs="Tahoma"/>
          <w:sz w:val="24"/>
          <w:szCs w:val="24"/>
        </w:rPr>
        <w:t>:</w:t>
      </w:r>
    </w:p>
    <w:p w14:paraId="25D8FCFF" w14:textId="2F8E833B" w:rsidR="00797256" w:rsidRDefault="00326599" w:rsidP="0048424C">
      <w:pPr>
        <w:ind w:firstLine="709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4D432E" wp14:editId="7416FFE5">
            <wp:extent cx="5494119" cy="3164721"/>
            <wp:effectExtent l="0" t="0" r="0" b="0"/>
            <wp:docPr id="1" name="Рисунок 1" descr="https://www.esbvolga.ru/upload/medialibrary/12e/12e8b55ba33dc73f1ff0a21a5415db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bvolga.ru/upload/medialibrary/12e/12e8b55ba33dc73f1ff0a21a5415db0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15" cy="31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50A7" w14:textId="704C8CCD" w:rsidR="0024639C" w:rsidRPr="00E22AE9" w:rsidRDefault="00B5624F" w:rsidP="00594B3B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удобства клиентов компания «Энергосбыт Волга» предлагает современные онлайн-сервисы. С их помощью передать показания приборов учёта можно буквально за несколько минут:</w:t>
      </w:r>
      <w:r w:rsidR="00E22AE9">
        <w:rPr>
          <w:rFonts w:ascii="Tahoma" w:hAnsi="Tahoma" w:cs="Tahoma"/>
          <w:sz w:val="24"/>
          <w:szCs w:val="24"/>
        </w:rPr>
        <w:t xml:space="preserve">  </w:t>
      </w:r>
    </w:p>
    <w:p w14:paraId="4539051D" w14:textId="7E905550" w:rsidR="0024639C" w:rsidRPr="0024639C" w:rsidRDefault="0024639C" w:rsidP="006B5D5D">
      <w:p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lastRenderedPageBreak/>
        <w:t>-</w:t>
      </w:r>
      <w:hyperlink r:id="rId12" w:history="1">
        <w:r w:rsidRPr="0024639C">
          <w:rPr>
            <w:rStyle w:val="a7"/>
            <w:rFonts w:ascii="Tahoma" w:hAnsi="Tahoma" w:cs="Tahoma"/>
            <w:sz w:val="24"/>
            <w:szCs w:val="24"/>
          </w:rPr>
          <w:t>личный кабинет </w:t>
        </w:r>
      </w:hyperlink>
      <w:r w:rsidRPr="0024639C">
        <w:rPr>
          <w:rFonts w:ascii="Tahoma" w:hAnsi="Tahoma" w:cs="Tahoma"/>
          <w:sz w:val="24"/>
          <w:szCs w:val="24"/>
        </w:rPr>
        <w:t xml:space="preserve">на сайте «Энергосбыт Волга». Для его использования необходимо один раз пройти процедуру регистрации. На странице лицевого счёта есть </w:t>
      </w:r>
      <w:r w:rsidR="00432FD2">
        <w:rPr>
          <w:rFonts w:ascii="Tahoma" w:hAnsi="Tahoma" w:cs="Tahoma"/>
          <w:sz w:val="24"/>
          <w:szCs w:val="24"/>
        </w:rPr>
        <w:t>кнопка</w:t>
      </w:r>
      <w:r w:rsidRPr="0024639C">
        <w:rPr>
          <w:rFonts w:ascii="Tahoma" w:hAnsi="Tahoma" w:cs="Tahoma"/>
          <w:sz w:val="24"/>
          <w:szCs w:val="24"/>
        </w:rPr>
        <w:t xml:space="preserve"> быстрого действия – «передать показания». </w:t>
      </w:r>
      <w:r w:rsidR="00432FD2">
        <w:rPr>
          <w:rFonts w:ascii="Tahoma" w:hAnsi="Tahoma" w:cs="Tahoma"/>
          <w:sz w:val="24"/>
          <w:szCs w:val="24"/>
        </w:rPr>
        <w:t xml:space="preserve"> </w:t>
      </w:r>
    </w:p>
    <w:p w14:paraId="29BB1CE1" w14:textId="77777777" w:rsidR="0024639C" w:rsidRPr="0024639C" w:rsidRDefault="0024639C" w:rsidP="006B5D5D">
      <w:p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 xml:space="preserve">Важно: по техническим причинам режим работы личного кабинета временно изменён. Все функции сервиса доступны с 7.00 до 23.00.  </w:t>
      </w:r>
    </w:p>
    <w:p w14:paraId="0A4FA5E7" w14:textId="77777777" w:rsidR="0024639C" w:rsidRPr="0024639C" w:rsidRDefault="0024639C" w:rsidP="006B5D5D">
      <w:p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 xml:space="preserve">-мобильное приложение «Мой Энергосбыт Волга». Оно повторяет все функции личного кабинета. При этом пользователи могут подключить </w:t>
      </w:r>
      <w:proofErr w:type="spellStart"/>
      <w:r w:rsidRPr="0024639C">
        <w:rPr>
          <w:rFonts w:ascii="Tahoma" w:hAnsi="Tahoma" w:cs="Tahoma"/>
          <w:sz w:val="24"/>
          <w:szCs w:val="24"/>
        </w:rPr>
        <w:t>push</w:t>
      </w:r>
      <w:proofErr w:type="spellEnd"/>
      <w:r w:rsidRPr="0024639C">
        <w:rPr>
          <w:rFonts w:ascii="Tahoma" w:hAnsi="Tahoma" w:cs="Tahoma"/>
          <w:sz w:val="24"/>
          <w:szCs w:val="24"/>
        </w:rPr>
        <w:t>-уведомления о важных событиях по лицевому счёту. Они напомнят, когда необходимо передать показания счётчика и оплатить начисления;</w:t>
      </w:r>
    </w:p>
    <w:p w14:paraId="2C9C514E" w14:textId="7D429348" w:rsidR="0024639C" w:rsidRDefault="0024639C" w:rsidP="006B5D5D">
      <w:p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fldChar w:fldCharType="begin"/>
      </w:r>
      <w:r>
        <w:rPr>
          <w:rFonts w:ascii="Tahoma" w:hAnsi="Tahoma" w:cs="Tahoma"/>
          <w:sz w:val="24"/>
          <w:szCs w:val="24"/>
        </w:rPr>
        <w:instrText xml:space="preserve"> HYPERLINK "https://www.esbvolga.ru/company/ipu/" </w:instrText>
      </w:r>
      <w:r>
        <w:rPr>
          <w:rFonts w:ascii="Tahoma" w:hAnsi="Tahoma" w:cs="Tahoma"/>
          <w:sz w:val="24"/>
          <w:szCs w:val="24"/>
        </w:rPr>
        <w:fldChar w:fldCharType="separate"/>
      </w:r>
      <w:r w:rsidRPr="0024639C">
        <w:rPr>
          <w:rStyle w:val="a7"/>
          <w:rFonts w:ascii="Tahoma" w:hAnsi="Tahoma" w:cs="Tahoma"/>
          <w:sz w:val="24"/>
          <w:szCs w:val="24"/>
        </w:rPr>
        <w:t>виджет</w:t>
      </w:r>
      <w:proofErr w:type="spellEnd"/>
      <w:r w:rsidRPr="0024639C">
        <w:rPr>
          <w:rStyle w:val="a7"/>
          <w:rFonts w:ascii="Tahoma" w:hAnsi="Tahoma" w:cs="Tahoma"/>
          <w:sz w:val="24"/>
          <w:szCs w:val="24"/>
        </w:rPr>
        <w:t xml:space="preserve"> «Передать показания онлайн» </w:t>
      </w:r>
      <w:r>
        <w:rPr>
          <w:rFonts w:ascii="Tahoma" w:hAnsi="Tahoma" w:cs="Tahoma"/>
          <w:sz w:val="24"/>
          <w:szCs w:val="24"/>
        </w:rPr>
        <w:fldChar w:fldCharType="end"/>
      </w:r>
      <w:r w:rsidRPr="0024639C">
        <w:rPr>
          <w:rFonts w:ascii="Tahoma" w:hAnsi="Tahoma" w:cs="Tahoma"/>
          <w:sz w:val="24"/>
          <w:szCs w:val="24"/>
        </w:rPr>
        <w:t>на сайте «Энергосбыт Волга». Этот сервис работает без регистрации, потребуется только номер лицевого счёта;</w:t>
      </w:r>
    </w:p>
    <w:p w14:paraId="7E191E40" w14:textId="682C0ECE" w:rsidR="008937E2" w:rsidRPr="0024639C" w:rsidRDefault="008937E2" w:rsidP="006B5D5D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fldChar w:fldCharType="begin"/>
      </w:r>
      <w:r>
        <w:rPr>
          <w:rFonts w:ascii="Tahoma" w:hAnsi="Tahoma" w:cs="Tahoma"/>
          <w:sz w:val="24"/>
          <w:szCs w:val="24"/>
        </w:rPr>
        <w:instrText xml:space="preserve"> HYPERLINK "https://vk.com/app7505491_-193268071" </w:instrText>
      </w:r>
      <w:r>
        <w:rPr>
          <w:rFonts w:ascii="Tahoma" w:hAnsi="Tahoma" w:cs="Tahoma"/>
          <w:sz w:val="24"/>
          <w:szCs w:val="24"/>
        </w:rPr>
        <w:fldChar w:fldCharType="separate"/>
      </w:r>
      <w:r w:rsidRPr="008937E2">
        <w:rPr>
          <w:rStyle w:val="a7"/>
          <w:rFonts w:ascii="Tahoma" w:hAnsi="Tahoma" w:cs="Tahoma"/>
          <w:sz w:val="24"/>
          <w:szCs w:val="24"/>
        </w:rPr>
        <w:t>виджет</w:t>
      </w:r>
      <w:proofErr w:type="spellEnd"/>
      <w:r w:rsidRPr="008937E2">
        <w:rPr>
          <w:rStyle w:val="a7"/>
          <w:rFonts w:ascii="Tahoma" w:hAnsi="Tahoma" w:cs="Tahoma"/>
          <w:sz w:val="24"/>
          <w:szCs w:val="24"/>
        </w:rPr>
        <w:t xml:space="preserve"> «Передать показания»</w:t>
      </w:r>
      <w:r>
        <w:rPr>
          <w:rFonts w:ascii="Tahoma" w:hAnsi="Tahoma" w:cs="Tahoma"/>
          <w:sz w:val="24"/>
          <w:szCs w:val="24"/>
        </w:rPr>
        <w:fldChar w:fldCharType="end"/>
      </w:r>
      <w:r>
        <w:rPr>
          <w:rFonts w:ascii="Tahoma" w:hAnsi="Tahoma" w:cs="Tahoma"/>
          <w:sz w:val="24"/>
          <w:szCs w:val="24"/>
        </w:rPr>
        <w:t xml:space="preserve"> в группе «Энергосбыт Волга» в социальной сети «</w:t>
      </w:r>
      <w:proofErr w:type="spellStart"/>
      <w:r>
        <w:rPr>
          <w:rFonts w:ascii="Tahoma" w:hAnsi="Tahoma" w:cs="Tahoma"/>
          <w:sz w:val="24"/>
          <w:szCs w:val="24"/>
        </w:rPr>
        <w:t>ВКонтакте</w:t>
      </w:r>
      <w:proofErr w:type="spellEnd"/>
      <w:r>
        <w:rPr>
          <w:rFonts w:ascii="Tahoma" w:hAnsi="Tahoma" w:cs="Tahoma"/>
          <w:sz w:val="24"/>
          <w:szCs w:val="24"/>
        </w:rPr>
        <w:t>»;</w:t>
      </w:r>
    </w:p>
    <w:p w14:paraId="74A08F6A" w14:textId="77777777" w:rsidR="0024639C" w:rsidRPr="0024639C" w:rsidRDefault="0024639C" w:rsidP="006B5D5D">
      <w:p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-по электронной почте. В письме необходимо указать ФИО, адрес, номер лицевого счёта и показания:</w:t>
      </w:r>
    </w:p>
    <w:p w14:paraId="4EAAC7EC" w14:textId="77777777" w:rsidR="0024639C" w:rsidRPr="0024639C" w:rsidRDefault="0024639C" w:rsidP="006B5D5D">
      <w:pPr>
        <w:pStyle w:val="ac"/>
        <w:numPr>
          <w:ilvl w:val="0"/>
          <w:numId w:val="8"/>
        </w:num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контактный центр: </w:t>
      </w:r>
      <w:hyperlink r:id="rId13" w:history="1">
        <w:r w:rsidRPr="0024639C">
          <w:rPr>
            <w:rStyle w:val="a7"/>
            <w:rFonts w:ascii="Tahoma" w:hAnsi="Tahoma" w:cs="Tahoma"/>
            <w:color w:val="auto"/>
            <w:sz w:val="24"/>
            <w:szCs w:val="24"/>
          </w:rPr>
          <w:t>call@esbvolga.ru</w:t>
        </w:r>
      </w:hyperlink>
    </w:p>
    <w:p w14:paraId="08C490AA" w14:textId="77777777" w:rsidR="0024639C" w:rsidRPr="0024639C" w:rsidRDefault="0024639C" w:rsidP="006B5D5D">
      <w:pPr>
        <w:pStyle w:val="ac"/>
        <w:numPr>
          <w:ilvl w:val="0"/>
          <w:numId w:val="8"/>
        </w:num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Владимирское городское отделение: </w:t>
      </w:r>
      <w:hyperlink r:id="rId14" w:history="1">
        <w:r w:rsidRPr="0024639C">
          <w:rPr>
            <w:rStyle w:val="a7"/>
            <w:rFonts w:ascii="Tahoma" w:hAnsi="Tahoma" w:cs="Tahoma"/>
            <w:color w:val="auto"/>
            <w:sz w:val="24"/>
            <w:szCs w:val="24"/>
          </w:rPr>
          <w:t>VGO@esbvolga.ru</w:t>
        </w:r>
      </w:hyperlink>
    </w:p>
    <w:p w14:paraId="77EE7AC2" w14:textId="77777777" w:rsidR="0024639C" w:rsidRPr="0024639C" w:rsidRDefault="0024639C" w:rsidP="006B5D5D">
      <w:pPr>
        <w:pStyle w:val="ac"/>
        <w:numPr>
          <w:ilvl w:val="0"/>
          <w:numId w:val="8"/>
        </w:num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Александровское территориальное отделение: </w:t>
      </w:r>
      <w:hyperlink r:id="rId15" w:history="1">
        <w:r w:rsidRPr="0024639C">
          <w:rPr>
            <w:rStyle w:val="a7"/>
            <w:rFonts w:ascii="Tahoma" w:hAnsi="Tahoma" w:cs="Tahoma"/>
            <w:color w:val="auto"/>
            <w:sz w:val="24"/>
            <w:szCs w:val="24"/>
          </w:rPr>
          <w:t>ATO@esbvolga.ru</w:t>
        </w:r>
      </w:hyperlink>
    </w:p>
    <w:p w14:paraId="12E85CBD" w14:textId="77777777" w:rsidR="0024639C" w:rsidRPr="0024639C" w:rsidRDefault="0024639C" w:rsidP="006B5D5D">
      <w:pPr>
        <w:pStyle w:val="ac"/>
        <w:numPr>
          <w:ilvl w:val="0"/>
          <w:numId w:val="8"/>
        </w:num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Ковровское территориальное отделение: </w:t>
      </w:r>
      <w:hyperlink r:id="rId16" w:history="1">
        <w:r w:rsidRPr="0024639C">
          <w:rPr>
            <w:rStyle w:val="a7"/>
            <w:rFonts w:ascii="Tahoma" w:hAnsi="Tahoma" w:cs="Tahoma"/>
            <w:color w:val="auto"/>
            <w:sz w:val="24"/>
            <w:szCs w:val="24"/>
          </w:rPr>
          <w:t>KTO@esbvolga.ru</w:t>
        </w:r>
      </w:hyperlink>
    </w:p>
    <w:p w14:paraId="773A86AA" w14:textId="77777777" w:rsidR="0024639C" w:rsidRPr="0024639C" w:rsidRDefault="0024639C" w:rsidP="006B5D5D">
      <w:pPr>
        <w:pStyle w:val="ac"/>
        <w:numPr>
          <w:ilvl w:val="0"/>
          <w:numId w:val="8"/>
        </w:numPr>
        <w:ind w:firstLine="709"/>
        <w:rPr>
          <w:rFonts w:ascii="Tahoma" w:hAnsi="Tahoma" w:cs="Tahoma"/>
          <w:sz w:val="24"/>
          <w:szCs w:val="24"/>
        </w:rPr>
      </w:pPr>
      <w:r w:rsidRPr="0024639C">
        <w:rPr>
          <w:rFonts w:ascii="Tahoma" w:hAnsi="Tahoma" w:cs="Tahoma"/>
          <w:sz w:val="24"/>
          <w:szCs w:val="24"/>
        </w:rPr>
        <w:t>Муромское территориальное отделение: </w:t>
      </w:r>
      <w:hyperlink r:id="rId17" w:history="1">
        <w:r w:rsidRPr="0024639C">
          <w:rPr>
            <w:rStyle w:val="a7"/>
            <w:rFonts w:ascii="Tahoma" w:hAnsi="Tahoma" w:cs="Tahoma"/>
            <w:color w:val="auto"/>
            <w:sz w:val="24"/>
            <w:szCs w:val="24"/>
          </w:rPr>
          <w:t>MTO@esbvolga.ru</w:t>
        </w:r>
      </w:hyperlink>
    </w:p>
    <w:p w14:paraId="3EECD14A" w14:textId="78EA12B1" w:rsidR="0011283A" w:rsidRPr="0011283A" w:rsidRDefault="0011283A" w:rsidP="0011283A">
      <w:pPr>
        <w:ind w:firstLine="709"/>
        <w:rPr>
          <w:rFonts w:ascii="Tahoma" w:hAnsi="Tahoma" w:cs="Tahoma"/>
          <w:color w:val="000000"/>
          <w:sz w:val="24"/>
          <w:szCs w:val="24"/>
          <w:shd w:val="clear" w:color="auto" w:fill="F0F2F5"/>
        </w:rPr>
      </w:pPr>
      <w:r w:rsidRPr="0011283A">
        <w:rPr>
          <w:rFonts w:ascii="Tahoma" w:hAnsi="Tahoma" w:cs="Tahoma"/>
          <w:sz w:val="24"/>
          <w:szCs w:val="24"/>
        </w:rPr>
        <w:t xml:space="preserve">Важно: в настоящий момент невозможно принятие обращений от зарубежных почтовых серверов/сервисов, </w:t>
      </w:r>
      <w:r w:rsidRPr="0011283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таких как: Gmail.com, Outlook.com, iCloud.com, Yahoo.com и т.п.</w:t>
      </w:r>
    </w:p>
    <w:p w14:paraId="77765765" w14:textId="7DDC4F0D" w:rsidR="0024639C" w:rsidRDefault="00326599" w:rsidP="006B5D5D">
      <w:pPr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B2A58E8" w14:textId="7AB872BB" w:rsidR="0024639C" w:rsidRPr="0024639C" w:rsidRDefault="0024639C" w:rsidP="006B5D5D">
      <w:pPr>
        <w:ind w:firstLine="709"/>
        <w:rPr>
          <w:rFonts w:ascii="Tahoma" w:hAnsi="Tahoma" w:cs="Tahoma"/>
          <w:sz w:val="24"/>
          <w:szCs w:val="24"/>
        </w:rPr>
      </w:pPr>
    </w:p>
    <w:sectPr w:rsidR="0024639C" w:rsidRPr="0024639C" w:rsidSect="003B06E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709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6254" w14:textId="77777777" w:rsidR="009B6780" w:rsidRDefault="009B6780" w:rsidP="000B7FF8">
      <w:pPr>
        <w:spacing w:after="0" w:line="240" w:lineRule="auto"/>
      </w:pPr>
      <w:r>
        <w:separator/>
      </w:r>
    </w:p>
  </w:endnote>
  <w:endnote w:type="continuationSeparator" w:id="0">
    <w:p w14:paraId="5FEE403A" w14:textId="77777777" w:rsidR="009B6780" w:rsidRDefault="009B6780" w:rsidP="000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6C84" w14:textId="15E88255" w:rsidR="002D2D9A" w:rsidRPr="001B50D3" w:rsidRDefault="002D2D9A" w:rsidP="002D2D9A">
    <w:pPr>
      <w:jc w:val="both"/>
      <w:rPr>
        <w:i/>
        <w:iCs/>
        <w:sz w:val="20"/>
        <w:szCs w:val="20"/>
      </w:rPr>
    </w:pPr>
    <w:r w:rsidRPr="001B50D3">
      <w:rPr>
        <w:b/>
        <w:bCs/>
        <w:i/>
        <w:iCs/>
        <w:sz w:val="20"/>
        <w:szCs w:val="20"/>
      </w:rPr>
      <w:t>ООО «Энергосбыт Волга» (ООО «ЭСВ»)</w:t>
    </w:r>
    <w:r w:rsidRPr="001B50D3">
      <w:rPr>
        <w:i/>
        <w:iCs/>
        <w:sz w:val="20"/>
        <w:szCs w:val="20"/>
      </w:rPr>
      <w:t xml:space="preserve"> – гарантирующий поставщик электроэнергии на территории Владимирск</w:t>
    </w:r>
    <w:r>
      <w:rPr>
        <w:i/>
        <w:iCs/>
        <w:sz w:val="20"/>
        <w:szCs w:val="20"/>
      </w:rPr>
      <w:t>ой области с 1 апреля 2018 года</w:t>
    </w:r>
    <w:r w:rsidRPr="001B50D3">
      <w:rPr>
        <w:i/>
        <w:iCs/>
        <w:sz w:val="20"/>
        <w:szCs w:val="20"/>
      </w:rPr>
      <w:t>. В настоящий момент клиентская база в зоне обслуживания составляет свыше 11 тыс</w:t>
    </w:r>
    <w:r>
      <w:rPr>
        <w:i/>
        <w:iCs/>
        <w:sz w:val="20"/>
        <w:szCs w:val="20"/>
      </w:rPr>
      <w:t>.</w:t>
    </w:r>
    <w:r w:rsidRPr="001B50D3">
      <w:rPr>
        <w:i/>
        <w:iCs/>
        <w:sz w:val="20"/>
        <w:szCs w:val="20"/>
      </w:rPr>
      <w:t> предприятий и организаций и более 4</w:t>
    </w:r>
    <w:r w:rsidR="0079424B">
      <w:rPr>
        <w:i/>
        <w:iCs/>
        <w:sz w:val="20"/>
        <w:szCs w:val="20"/>
      </w:rPr>
      <w:t>6</w:t>
    </w:r>
    <w:r w:rsidR="00084E6E">
      <w:rPr>
        <w:i/>
        <w:iCs/>
        <w:sz w:val="20"/>
        <w:szCs w:val="20"/>
      </w:rPr>
      <w:t>5</w:t>
    </w:r>
    <w:r w:rsidRPr="001B50D3">
      <w:rPr>
        <w:i/>
        <w:iCs/>
        <w:sz w:val="20"/>
        <w:szCs w:val="20"/>
      </w:rPr>
      <w:t xml:space="preserve"> тыс. бытовых потребителей. В своей деятельности ООО «ЭСВ» ориентируется на обслуживание потребителей с предоставлением полного комплекса сервисных услуг с применением современных средств автоматизации, использованием информационных технологий и средств связи. </w:t>
    </w:r>
    <w:hyperlink r:id="rId1" w:history="1">
      <w:r w:rsidRPr="001B50D3">
        <w:rPr>
          <w:rStyle w:val="a7"/>
          <w:i/>
          <w:iCs/>
          <w:sz w:val="20"/>
          <w:szCs w:val="20"/>
        </w:rPr>
        <w:t>www.esbvolga.ru</w:t>
      </w:r>
    </w:hyperlink>
  </w:p>
  <w:p w14:paraId="47B005B7" w14:textId="77777777" w:rsidR="0010657C" w:rsidRPr="0010657C" w:rsidRDefault="00E36D59" w:rsidP="0010657C">
    <w:pPr>
      <w:pStyle w:val="a5"/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 </w:t>
    </w:r>
    <w:r w:rsidR="0010657C"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</w:t>
    </w:r>
    <w:r w:rsidR="0010657C" w:rsidRPr="00856770">
      <w:rPr>
        <w:rFonts w:ascii="Tahoma" w:hAnsi="Tahoma" w:cs="Tahoma"/>
        <w:color w:val="C45911" w:themeColor="accent2" w:themeShade="BF"/>
        <w:position w:val="-6"/>
        <w:sz w:val="16"/>
        <w:szCs w:val="16"/>
      </w:rPr>
      <w:t>ООО «ЭСВ»</w:t>
    </w:r>
  </w:p>
  <w:p w14:paraId="46D8269B" w14:textId="77777777" w:rsidR="00853BAA" w:rsidRPr="00856770" w:rsidRDefault="0010657C" w:rsidP="0010657C">
    <w:pPr>
      <w:pStyle w:val="a5"/>
      <w:tabs>
        <w:tab w:val="clear" w:pos="4677"/>
        <w:tab w:val="center" w:pos="4678"/>
      </w:tabs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noProof/>
        <w:color w:val="C45911" w:themeColor="accent2" w:themeShade="BF"/>
        <w:position w:val="-6"/>
        <w:sz w:val="16"/>
        <w:szCs w:val="16"/>
        <w:lang w:eastAsia="ru-RU"/>
      </w:rPr>
      <w:drawing>
        <wp:inline distT="0" distB="0" distL="0" distR="0" wp14:anchorId="6C83A8A6" wp14:editId="11E9D3FB">
          <wp:extent cx="1268095" cy="243840"/>
          <wp:effectExtent l="0" t="0" r="8255" b="381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7EB8" w14:textId="77777777" w:rsidR="00592147" w:rsidRDefault="00592147" w:rsidP="00592147">
    <w:pPr>
      <w:pStyle w:val="a5"/>
      <w:jc w:val="center"/>
      <w:rPr>
        <w:rFonts w:ascii="Tahoma" w:hAnsi="Tahoma" w:cs="Tahoma"/>
        <w:color w:val="C45911" w:themeColor="accent2" w:themeShade="BF"/>
        <w:sz w:val="16"/>
        <w:szCs w:val="16"/>
      </w:rPr>
    </w:pPr>
  </w:p>
  <w:p w14:paraId="374F5F0B" w14:textId="77777777" w:rsidR="00592147" w:rsidRDefault="00592147" w:rsidP="00592147">
    <w:pPr>
      <w:pStyle w:val="a5"/>
      <w:tabs>
        <w:tab w:val="clear" w:pos="4677"/>
        <w:tab w:val="center" w:pos="4678"/>
      </w:tabs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         </w:t>
    </w:r>
  </w:p>
  <w:p w14:paraId="7AFDE8C2" w14:textId="77777777" w:rsidR="00592147" w:rsidRPr="00856770" w:rsidRDefault="0010657C" w:rsidP="00592147">
    <w:pPr>
      <w:pStyle w:val="a5"/>
      <w:tabs>
        <w:tab w:val="clear" w:pos="4677"/>
        <w:tab w:val="center" w:pos="4678"/>
      </w:tabs>
      <w:ind w:left="-567"/>
      <w:jc w:val="center"/>
      <w:rPr>
        <w:rFonts w:ascii="Tahoma" w:hAnsi="Tahoma" w:cs="Tahoma"/>
        <w:color w:val="C45911" w:themeColor="accent2" w:themeShade="BF"/>
        <w:position w:val="-6"/>
        <w:sz w:val="16"/>
        <w:szCs w:val="16"/>
      </w:rPr>
    </w:pPr>
    <w:r>
      <w:rPr>
        <w:rFonts w:ascii="Tahoma" w:hAnsi="Tahoma" w:cs="Tahoma"/>
        <w:color w:val="C45911" w:themeColor="accent2" w:themeShade="BF"/>
        <w:position w:val="-6"/>
        <w:sz w:val="16"/>
        <w:szCs w:val="16"/>
      </w:rPr>
      <w:t xml:space="preserve">          </w:t>
    </w:r>
    <w:r w:rsidRPr="00856770">
      <w:rPr>
        <w:rFonts w:ascii="Tahoma" w:hAnsi="Tahoma" w:cs="Tahoma"/>
        <w:color w:val="C45911" w:themeColor="accent2" w:themeShade="BF"/>
        <w:position w:val="-6"/>
        <w:sz w:val="16"/>
        <w:szCs w:val="16"/>
      </w:rPr>
      <w:t>ООО «ЭСВ»</w:t>
    </w:r>
  </w:p>
  <w:p w14:paraId="79D74A6B" w14:textId="77777777" w:rsidR="00F10F71" w:rsidRDefault="0010657C" w:rsidP="0010657C">
    <w:pPr>
      <w:pStyle w:val="a5"/>
      <w:jc w:val="center"/>
    </w:pPr>
    <w:r>
      <w:rPr>
        <w:rFonts w:ascii="Tahoma" w:hAnsi="Tahoma" w:cs="Tahoma"/>
        <w:noProof/>
        <w:color w:val="C45911" w:themeColor="accent2" w:themeShade="BF"/>
        <w:position w:val="-6"/>
        <w:sz w:val="16"/>
        <w:szCs w:val="16"/>
        <w:lang w:eastAsia="ru-RU"/>
      </w:rPr>
      <w:drawing>
        <wp:inline distT="0" distB="0" distL="0" distR="0" wp14:anchorId="5275F868" wp14:editId="12C79EC7">
          <wp:extent cx="1268095" cy="243840"/>
          <wp:effectExtent l="0" t="0" r="8255" b="381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1863E" w14:textId="77777777" w:rsidR="009B6780" w:rsidRDefault="009B6780" w:rsidP="000B7FF8">
      <w:pPr>
        <w:spacing w:after="0" w:line="240" w:lineRule="auto"/>
      </w:pPr>
      <w:r>
        <w:separator/>
      </w:r>
    </w:p>
  </w:footnote>
  <w:footnote w:type="continuationSeparator" w:id="0">
    <w:p w14:paraId="12A2A0C8" w14:textId="77777777" w:rsidR="009B6780" w:rsidRDefault="009B6780" w:rsidP="000B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043544"/>
      <w:docPartObj>
        <w:docPartGallery w:val="Page Numbers (Top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7B733531" w14:textId="28169DB2" w:rsidR="003B06E2" w:rsidRPr="003B06E2" w:rsidRDefault="003B06E2">
        <w:pPr>
          <w:pStyle w:val="a3"/>
          <w:jc w:val="center"/>
          <w:rPr>
            <w:rFonts w:ascii="Tahoma" w:hAnsi="Tahoma" w:cs="Tahoma"/>
            <w:sz w:val="18"/>
            <w:szCs w:val="18"/>
          </w:rPr>
        </w:pPr>
        <w:r w:rsidRPr="003B06E2">
          <w:rPr>
            <w:rFonts w:ascii="Tahoma" w:hAnsi="Tahoma" w:cs="Tahoma"/>
            <w:sz w:val="18"/>
            <w:szCs w:val="18"/>
          </w:rPr>
          <w:fldChar w:fldCharType="begin"/>
        </w:r>
        <w:r w:rsidRPr="003B06E2">
          <w:rPr>
            <w:rFonts w:ascii="Tahoma" w:hAnsi="Tahoma" w:cs="Tahoma"/>
            <w:sz w:val="18"/>
            <w:szCs w:val="18"/>
          </w:rPr>
          <w:instrText>PAGE   \* MERGEFORMAT</w:instrText>
        </w:r>
        <w:r w:rsidRPr="003B06E2">
          <w:rPr>
            <w:rFonts w:ascii="Tahoma" w:hAnsi="Tahoma" w:cs="Tahoma"/>
            <w:sz w:val="18"/>
            <w:szCs w:val="18"/>
          </w:rPr>
          <w:fldChar w:fldCharType="separate"/>
        </w:r>
        <w:r w:rsidR="00F54F01">
          <w:rPr>
            <w:rFonts w:ascii="Tahoma" w:hAnsi="Tahoma" w:cs="Tahoma"/>
            <w:noProof/>
            <w:sz w:val="18"/>
            <w:szCs w:val="18"/>
          </w:rPr>
          <w:t>2</w:t>
        </w:r>
        <w:r w:rsidRPr="003B06E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0DCC9782" w14:textId="77777777" w:rsidR="003B06E2" w:rsidRDefault="003B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C7F3" w14:textId="77777777" w:rsidR="003B06E2" w:rsidRDefault="003B06E2">
    <w:pPr>
      <w:pStyle w:val="a3"/>
      <w:jc w:val="center"/>
    </w:pPr>
  </w:p>
  <w:p w14:paraId="3C03A9A4" w14:textId="77777777" w:rsidR="003B06E2" w:rsidRDefault="003B06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ABF"/>
    <w:multiLevelType w:val="hybridMultilevel"/>
    <w:tmpl w:val="5568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06F"/>
    <w:multiLevelType w:val="multilevel"/>
    <w:tmpl w:val="12A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D552D"/>
    <w:multiLevelType w:val="hybridMultilevel"/>
    <w:tmpl w:val="DC60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8AF"/>
    <w:multiLevelType w:val="multilevel"/>
    <w:tmpl w:val="ED34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350CB"/>
    <w:multiLevelType w:val="hybridMultilevel"/>
    <w:tmpl w:val="8D6E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4C82"/>
    <w:multiLevelType w:val="hybridMultilevel"/>
    <w:tmpl w:val="DB8A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9077D"/>
    <w:multiLevelType w:val="multilevel"/>
    <w:tmpl w:val="7D9C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4562A"/>
    <w:multiLevelType w:val="hybridMultilevel"/>
    <w:tmpl w:val="F6B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2"/>
    <w:rsid w:val="000141FF"/>
    <w:rsid w:val="00017619"/>
    <w:rsid w:val="00025D04"/>
    <w:rsid w:val="00026667"/>
    <w:rsid w:val="00034271"/>
    <w:rsid w:val="00040D11"/>
    <w:rsid w:val="000461B1"/>
    <w:rsid w:val="00052BBE"/>
    <w:rsid w:val="000604C7"/>
    <w:rsid w:val="000669E4"/>
    <w:rsid w:val="00072A46"/>
    <w:rsid w:val="00073D7D"/>
    <w:rsid w:val="0008386B"/>
    <w:rsid w:val="00084E6E"/>
    <w:rsid w:val="0009278B"/>
    <w:rsid w:val="000B5D52"/>
    <w:rsid w:val="000B7FF8"/>
    <w:rsid w:val="000C2E48"/>
    <w:rsid w:val="000D7492"/>
    <w:rsid w:val="000E27A7"/>
    <w:rsid w:val="000E52DF"/>
    <w:rsid w:val="0010657C"/>
    <w:rsid w:val="00110D40"/>
    <w:rsid w:val="0011283A"/>
    <w:rsid w:val="00113B10"/>
    <w:rsid w:val="001174B5"/>
    <w:rsid w:val="001205E2"/>
    <w:rsid w:val="00123C91"/>
    <w:rsid w:val="0016270B"/>
    <w:rsid w:val="0017563E"/>
    <w:rsid w:val="00180026"/>
    <w:rsid w:val="001857FC"/>
    <w:rsid w:val="001B4794"/>
    <w:rsid w:val="001B691C"/>
    <w:rsid w:val="001F6F97"/>
    <w:rsid w:val="00234437"/>
    <w:rsid w:val="0023513C"/>
    <w:rsid w:val="00235349"/>
    <w:rsid w:val="00237F6B"/>
    <w:rsid w:val="0024639C"/>
    <w:rsid w:val="00246952"/>
    <w:rsid w:val="00247E6E"/>
    <w:rsid w:val="00251C59"/>
    <w:rsid w:val="0027136B"/>
    <w:rsid w:val="00275ACC"/>
    <w:rsid w:val="002A4602"/>
    <w:rsid w:val="002D1BD2"/>
    <w:rsid w:val="002D2D9A"/>
    <w:rsid w:val="002D4610"/>
    <w:rsid w:val="002D6970"/>
    <w:rsid w:val="002F0B27"/>
    <w:rsid w:val="002F3788"/>
    <w:rsid w:val="002F7A1B"/>
    <w:rsid w:val="0030321A"/>
    <w:rsid w:val="003074E8"/>
    <w:rsid w:val="00312CA1"/>
    <w:rsid w:val="003155DD"/>
    <w:rsid w:val="00326599"/>
    <w:rsid w:val="003305F1"/>
    <w:rsid w:val="003559F3"/>
    <w:rsid w:val="003756D2"/>
    <w:rsid w:val="0037696E"/>
    <w:rsid w:val="00380C81"/>
    <w:rsid w:val="003833A5"/>
    <w:rsid w:val="00390ABC"/>
    <w:rsid w:val="00391E0F"/>
    <w:rsid w:val="003A2520"/>
    <w:rsid w:val="003A5748"/>
    <w:rsid w:val="003A6F87"/>
    <w:rsid w:val="003B06E2"/>
    <w:rsid w:val="003C542B"/>
    <w:rsid w:val="003C60F7"/>
    <w:rsid w:val="003D7522"/>
    <w:rsid w:val="003E3E8A"/>
    <w:rsid w:val="003F38F4"/>
    <w:rsid w:val="003F4E93"/>
    <w:rsid w:val="00414D7A"/>
    <w:rsid w:val="00427FAC"/>
    <w:rsid w:val="004321AE"/>
    <w:rsid w:val="00432FD2"/>
    <w:rsid w:val="00450948"/>
    <w:rsid w:val="004600B1"/>
    <w:rsid w:val="00467BE8"/>
    <w:rsid w:val="00477944"/>
    <w:rsid w:val="0048424C"/>
    <w:rsid w:val="004A11FE"/>
    <w:rsid w:val="004A3B6D"/>
    <w:rsid w:val="004B3754"/>
    <w:rsid w:val="004B64A8"/>
    <w:rsid w:val="004F04D6"/>
    <w:rsid w:val="00504012"/>
    <w:rsid w:val="005075B9"/>
    <w:rsid w:val="0052268A"/>
    <w:rsid w:val="00522D0E"/>
    <w:rsid w:val="00530251"/>
    <w:rsid w:val="00536C63"/>
    <w:rsid w:val="00547D75"/>
    <w:rsid w:val="0056489A"/>
    <w:rsid w:val="00565771"/>
    <w:rsid w:val="00592147"/>
    <w:rsid w:val="00594B3B"/>
    <w:rsid w:val="00597630"/>
    <w:rsid w:val="005A11FC"/>
    <w:rsid w:val="005A653A"/>
    <w:rsid w:val="005B09DD"/>
    <w:rsid w:val="005D0887"/>
    <w:rsid w:val="005D50AA"/>
    <w:rsid w:val="005D6CD7"/>
    <w:rsid w:val="005E4EEE"/>
    <w:rsid w:val="005E771D"/>
    <w:rsid w:val="005F36F1"/>
    <w:rsid w:val="00604662"/>
    <w:rsid w:val="00610320"/>
    <w:rsid w:val="0064137A"/>
    <w:rsid w:val="00651CC2"/>
    <w:rsid w:val="00652165"/>
    <w:rsid w:val="00686E2F"/>
    <w:rsid w:val="006A3CD6"/>
    <w:rsid w:val="006A64A8"/>
    <w:rsid w:val="006B5D5D"/>
    <w:rsid w:val="006D00E6"/>
    <w:rsid w:val="006E1906"/>
    <w:rsid w:val="0070311F"/>
    <w:rsid w:val="00724C9D"/>
    <w:rsid w:val="00733422"/>
    <w:rsid w:val="00742B2A"/>
    <w:rsid w:val="00743A66"/>
    <w:rsid w:val="00744A9A"/>
    <w:rsid w:val="00760193"/>
    <w:rsid w:val="007643F2"/>
    <w:rsid w:val="00773939"/>
    <w:rsid w:val="00775533"/>
    <w:rsid w:val="00775699"/>
    <w:rsid w:val="0078425F"/>
    <w:rsid w:val="0079410A"/>
    <w:rsid w:val="0079424B"/>
    <w:rsid w:val="00797256"/>
    <w:rsid w:val="007A43DC"/>
    <w:rsid w:val="007A534F"/>
    <w:rsid w:val="007B38C2"/>
    <w:rsid w:val="007C57E2"/>
    <w:rsid w:val="007F24BF"/>
    <w:rsid w:val="00800A1C"/>
    <w:rsid w:val="008037D6"/>
    <w:rsid w:val="00820391"/>
    <w:rsid w:val="008244EC"/>
    <w:rsid w:val="00853BAA"/>
    <w:rsid w:val="00856770"/>
    <w:rsid w:val="00880A8D"/>
    <w:rsid w:val="00887196"/>
    <w:rsid w:val="00891C91"/>
    <w:rsid w:val="008937E2"/>
    <w:rsid w:val="008A0BC9"/>
    <w:rsid w:val="008A7BC4"/>
    <w:rsid w:val="008E1C63"/>
    <w:rsid w:val="008E58BD"/>
    <w:rsid w:val="00904847"/>
    <w:rsid w:val="00915C48"/>
    <w:rsid w:val="00920F84"/>
    <w:rsid w:val="00930C24"/>
    <w:rsid w:val="00933B87"/>
    <w:rsid w:val="00937407"/>
    <w:rsid w:val="00940CAD"/>
    <w:rsid w:val="00961C8F"/>
    <w:rsid w:val="009B6780"/>
    <w:rsid w:val="009C2A08"/>
    <w:rsid w:val="009C2B58"/>
    <w:rsid w:val="009C30A7"/>
    <w:rsid w:val="009C7FD9"/>
    <w:rsid w:val="009E384F"/>
    <w:rsid w:val="00A454D8"/>
    <w:rsid w:val="00A45D5E"/>
    <w:rsid w:val="00A5062C"/>
    <w:rsid w:val="00A55A52"/>
    <w:rsid w:val="00A60793"/>
    <w:rsid w:val="00AA58DD"/>
    <w:rsid w:val="00AA677B"/>
    <w:rsid w:val="00AC1B47"/>
    <w:rsid w:val="00AE06EF"/>
    <w:rsid w:val="00AE17D0"/>
    <w:rsid w:val="00AF799B"/>
    <w:rsid w:val="00B02CFC"/>
    <w:rsid w:val="00B060CE"/>
    <w:rsid w:val="00B36993"/>
    <w:rsid w:val="00B413E8"/>
    <w:rsid w:val="00B50680"/>
    <w:rsid w:val="00B55353"/>
    <w:rsid w:val="00B5624F"/>
    <w:rsid w:val="00B66D6A"/>
    <w:rsid w:val="00B737AA"/>
    <w:rsid w:val="00B742C4"/>
    <w:rsid w:val="00B85AC1"/>
    <w:rsid w:val="00BB56BF"/>
    <w:rsid w:val="00BB6CF3"/>
    <w:rsid w:val="00BC7C4B"/>
    <w:rsid w:val="00BE1CD4"/>
    <w:rsid w:val="00BF0A24"/>
    <w:rsid w:val="00BF30A8"/>
    <w:rsid w:val="00BF702F"/>
    <w:rsid w:val="00C01D92"/>
    <w:rsid w:val="00C052E5"/>
    <w:rsid w:val="00C11424"/>
    <w:rsid w:val="00C15968"/>
    <w:rsid w:val="00C20D21"/>
    <w:rsid w:val="00C31D74"/>
    <w:rsid w:val="00C32A46"/>
    <w:rsid w:val="00C43788"/>
    <w:rsid w:val="00C52066"/>
    <w:rsid w:val="00C5465F"/>
    <w:rsid w:val="00C5573F"/>
    <w:rsid w:val="00C56712"/>
    <w:rsid w:val="00C733F2"/>
    <w:rsid w:val="00CA0086"/>
    <w:rsid w:val="00CA2522"/>
    <w:rsid w:val="00CD419F"/>
    <w:rsid w:val="00CE5868"/>
    <w:rsid w:val="00D019B9"/>
    <w:rsid w:val="00D171DD"/>
    <w:rsid w:val="00D35826"/>
    <w:rsid w:val="00D52ECD"/>
    <w:rsid w:val="00D56BA9"/>
    <w:rsid w:val="00D65F2B"/>
    <w:rsid w:val="00D66FA0"/>
    <w:rsid w:val="00E012DC"/>
    <w:rsid w:val="00E021B1"/>
    <w:rsid w:val="00E024EB"/>
    <w:rsid w:val="00E1276A"/>
    <w:rsid w:val="00E12DB1"/>
    <w:rsid w:val="00E22AE9"/>
    <w:rsid w:val="00E34F8D"/>
    <w:rsid w:val="00E352B2"/>
    <w:rsid w:val="00E36D59"/>
    <w:rsid w:val="00E43FFD"/>
    <w:rsid w:val="00E546CD"/>
    <w:rsid w:val="00EB6B1D"/>
    <w:rsid w:val="00EB6EBB"/>
    <w:rsid w:val="00EC3869"/>
    <w:rsid w:val="00ED0518"/>
    <w:rsid w:val="00ED7C91"/>
    <w:rsid w:val="00EF4D98"/>
    <w:rsid w:val="00F100E2"/>
    <w:rsid w:val="00F10F71"/>
    <w:rsid w:val="00F147B7"/>
    <w:rsid w:val="00F227E2"/>
    <w:rsid w:val="00F24327"/>
    <w:rsid w:val="00F260FA"/>
    <w:rsid w:val="00F44995"/>
    <w:rsid w:val="00F5192C"/>
    <w:rsid w:val="00F53AE7"/>
    <w:rsid w:val="00F54F01"/>
    <w:rsid w:val="00F57467"/>
    <w:rsid w:val="00F64F6C"/>
    <w:rsid w:val="00F65AE3"/>
    <w:rsid w:val="00F874DF"/>
    <w:rsid w:val="00F87D1A"/>
    <w:rsid w:val="00FA4B67"/>
    <w:rsid w:val="00FB663D"/>
    <w:rsid w:val="00FC2BE9"/>
    <w:rsid w:val="00FC4377"/>
    <w:rsid w:val="00FD1E4A"/>
    <w:rsid w:val="00FE34A2"/>
    <w:rsid w:val="00FE6BB5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3BEE"/>
  <w15:chartTrackingRefBased/>
  <w15:docId w15:val="{09CF40E0-5E16-4530-A81A-784C7D8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FF8"/>
  </w:style>
  <w:style w:type="paragraph" w:styleId="a5">
    <w:name w:val="footer"/>
    <w:basedOn w:val="a"/>
    <w:link w:val="a6"/>
    <w:uiPriority w:val="99"/>
    <w:unhideWhenUsed/>
    <w:rsid w:val="000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FF8"/>
  </w:style>
  <w:style w:type="character" w:styleId="a7">
    <w:name w:val="Hyperlink"/>
    <w:basedOn w:val="a0"/>
    <w:uiPriority w:val="99"/>
    <w:unhideWhenUsed/>
    <w:rsid w:val="000B7FF8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ED7C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D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7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A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1032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8719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8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244EC"/>
    <w:rPr>
      <w:i/>
      <w:iCs/>
    </w:rPr>
  </w:style>
  <w:style w:type="character" w:customStyle="1" w:styleId="lendingtreetxt-blue">
    <w:name w:val="lendingtree__txt-blue"/>
    <w:basedOn w:val="a0"/>
    <w:rsid w:val="00F44995"/>
  </w:style>
  <w:style w:type="character" w:customStyle="1" w:styleId="10">
    <w:name w:val="Заголовок 1 Знак"/>
    <w:basedOn w:val="a0"/>
    <w:link w:val="1"/>
    <w:uiPriority w:val="9"/>
    <w:rsid w:val="00E4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432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ll@esbvolga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sbvolga.ru/lk/" TargetMode="External"/><Relationship Id="rId17" Type="http://schemas.openxmlformats.org/officeDocument/2006/relationships/hyperlink" Target="mailto:MTO@esbvolg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TO@esbvolga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TO@esbvolg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bvolg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esbvolga.ru" TargetMode="External"/><Relationship Id="rId14" Type="http://schemas.openxmlformats.org/officeDocument/2006/relationships/hyperlink" Target="mailto:VGO@esbvolga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sbvolga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79A8-14EE-4FCA-8DB7-DF0E3D71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Шиленкова Юлия Александровна</dc:creator>
  <cp:keywords/>
  <dc:description/>
  <cp:lastModifiedBy>Ермолина Дарья Евгеньевна</cp:lastModifiedBy>
  <cp:revision>9</cp:revision>
  <cp:lastPrinted>2018-12-18T13:15:00Z</cp:lastPrinted>
  <dcterms:created xsi:type="dcterms:W3CDTF">2023-03-16T12:14:00Z</dcterms:created>
  <dcterms:modified xsi:type="dcterms:W3CDTF">2023-03-20T06:05:00Z</dcterms:modified>
</cp:coreProperties>
</file>