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866B0" w:rsidRDefault="005866B0" w:rsidP="005866B0"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A63F63">
        <w:rPr>
          <w:rFonts w:cs="Times New Roman"/>
          <w:b/>
          <w:sz w:val="28"/>
          <w:szCs w:val="28"/>
        </w:rPr>
        <w:t>Пресс-релиз</w:t>
      </w:r>
    </w:p>
    <w:p w:rsidR="005866B0" w:rsidRDefault="005866B0" w:rsidP="005866B0"/>
    <w:p w:rsidR="005866B0" w:rsidRDefault="005866B0" w:rsidP="005866B0">
      <w:pPr>
        <w:pStyle w:val="a6"/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bookmarkStart w:id="0" w:name="_GoBack"/>
      <w:r>
        <w:rPr>
          <w:b/>
          <w:bCs/>
          <w:color w:val="212121"/>
          <w:sz w:val="28"/>
          <w:szCs w:val="28"/>
        </w:rPr>
        <w:t>Как</w:t>
      </w:r>
      <w:r w:rsidR="005B500A">
        <w:rPr>
          <w:b/>
          <w:bCs/>
          <w:color w:val="212121"/>
          <w:sz w:val="28"/>
          <w:szCs w:val="28"/>
        </w:rPr>
        <w:t xml:space="preserve"> оформить гараж в собственность</w:t>
      </w:r>
      <w:r>
        <w:rPr>
          <w:b/>
          <w:bCs/>
          <w:color w:val="212121"/>
          <w:sz w:val="28"/>
          <w:szCs w:val="28"/>
        </w:rPr>
        <w:t xml:space="preserve"> </w:t>
      </w:r>
    </w:p>
    <w:bookmarkEnd w:id="0"/>
    <w:p w:rsidR="005866B0" w:rsidRPr="00A63F63" w:rsidRDefault="005866B0" w:rsidP="005866B0">
      <w:pPr>
        <w:pStyle w:val="a6"/>
        <w:shd w:val="clear" w:color="auto" w:fill="FFFFFF"/>
        <w:spacing w:after="0"/>
        <w:ind w:firstLine="709"/>
        <w:jc w:val="center"/>
        <w:rPr>
          <w:b/>
          <w:bCs/>
          <w:color w:val="212121"/>
          <w:sz w:val="28"/>
          <w:szCs w:val="28"/>
        </w:rPr>
      </w:pPr>
    </w:p>
    <w:p w:rsidR="005866B0" w:rsidRDefault="005866B0" w:rsidP="005866B0">
      <w:pPr>
        <w:pStyle w:val="a6"/>
        <w:shd w:val="clear" w:color="auto" w:fill="FFFFFF"/>
        <w:spacing w:after="0"/>
        <w:ind w:firstLine="709"/>
        <w:jc w:val="both"/>
        <w:rPr>
          <w:b/>
          <w:color w:val="212121"/>
          <w:sz w:val="28"/>
          <w:szCs w:val="28"/>
        </w:rPr>
      </w:pPr>
      <w:r w:rsidRPr="00A63F63">
        <w:rPr>
          <w:b/>
          <w:color w:val="212121"/>
          <w:sz w:val="28"/>
          <w:szCs w:val="28"/>
        </w:rPr>
        <w:t>У владельцев гаражей появилась возможность узаконить свои права на гараж. В результате они станут полноправным</w:t>
      </w:r>
      <w:r>
        <w:rPr>
          <w:b/>
          <w:color w:val="212121"/>
          <w:sz w:val="28"/>
          <w:szCs w:val="28"/>
        </w:rPr>
        <w:t>и владельца</w:t>
      </w:r>
      <w:r w:rsidRPr="00A63F63">
        <w:rPr>
          <w:b/>
          <w:color w:val="212121"/>
          <w:sz w:val="28"/>
          <w:szCs w:val="28"/>
        </w:rPr>
        <w:t>м</w:t>
      </w:r>
      <w:r>
        <w:rPr>
          <w:b/>
          <w:color w:val="212121"/>
          <w:sz w:val="28"/>
          <w:szCs w:val="28"/>
        </w:rPr>
        <w:t>и</w:t>
      </w:r>
      <w:r w:rsidRPr="00A63F63">
        <w:rPr>
          <w:b/>
          <w:color w:val="212121"/>
          <w:sz w:val="28"/>
          <w:szCs w:val="28"/>
        </w:rPr>
        <w:t xml:space="preserve"> недвижимости и смогут ее продавать, дарить или передавать по наследству</w:t>
      </w:r>
      <w:r>
        <w:rPr>
          <w:b/>
          <w:color w:val="212121"/>
          <w:sz w:val="28"/>
          <w:szCs w:val="28"/>
        </w:rPr>
        <w:t>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bCs/>
          <w:color w:val="212121"/>
          <w:sz w:val="28"/>
          <w:szCs w:val="28"/>
        </w:rPr>
        <w:t>Гаражная амнистия</w:t>
      </w:r>
      <w:r w:rsidRPr="00C52FFE">
        <w:rPr>
          <w:color w:val="212121"/>
          <w:sz w:val="28"/>
          <w:szCs w:val="28"/>
        </w:rPr>
        <w:t>  — это программа, позволяющая оформить гараж и землю под ним в собс</w:t>
      </w:r>
      <w:r w:rsidR="00224EF0">
        <w:rPr>
          <w:color w:val="212121"/>
          <w:sz w:val="28"/>
          <w:szCs w:val="28"/>
        </w:rPr>
        <w:t>твенность в упрощенном порядке, при этом земельный участок</w:t>
      </w:r>
      <w:r w:rsidRPr="00C52FFE">
        <w:rPr>
          <w:color w:val="212121"/>
          <w:sz w:val="28"/>
          <w:szCs w:val="28"/>
        </w:rPr>
        <w:t xml:space="preserve"> не нужно выкупать у муниципалитета.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color w:val="212121"/>
          <w:sz w:val="28"/>
          <w:szCs w:val="28"/>
        </w:rPr>
        <w:t xml:space="preserve">Порядок проведения гаражной амнистии </w:t>
      </w:r>
      <w:r>
        <w:rPr>
          <w:color w:val="212121"/>
          <w:sz w:val="28"/>
          <w:szCs w:val="28"/>
        </w:rPr>
        <w:t>установлен</w:t>
      </w:r>
      <w:r w:rsidRPr="00C52FFE">
        <w:rPr>
          <w:color w:val="212121"/>
          <w:sz w:val="28"/>
          <w:szCs w:val="28"/>
        </w:rPr>
        <w:t> </w:t>
      </w:r>
      <w:hyperlink r:id="rId9" w:tgtFrame="_blank" w:history="1">
        <w:r>
          <w:rPr>
            <w:rStyle w:val="a5"/>
            <w:sz w:val="28"/>
            <w:szCs w:val="28"/>
          </w:rPr>
          <w:t>Федеральным законом</w:t>
        </w:r>
        <w:r w:rsidRPr="00C52FFE">
          <w:rPr>
            <w:rStyle w:val="a5"/>
            <w:sz w:val="28"/>
            <w:szCs w:val="28"/>
          </w:rPr>
          <w:t xml:space="preserve"> от 05.04.2021 №</w:t>
        </w:r>
        <w:r w:rsidR="00224EF0">
          <w:rPr>
            <w:rStyle w:val="a5"/>
            <w:sz w:val="28"/>
            <w:szCs w:val="28"/>
          </w:rPr>
          <w:t xml:space="preserve"> </w:t>
        </w:r>
        <w:r w:rsidRPr="00C52FFE">
          <w:rPr>
            <w:rStyle w:val="a5"/>
            <w:sz w:val="28"/>
            <w:szCs w:val="28"/>
          </w:rPr>
          <w:t>79-ФЗ</w:t>
        </w:r>
      </w:hyperlink>
      <w:r w:rsidRPr="00C52FFE">
        <w:rPr>
          <w:color w:val="212121"/>
          <w:sz w:val="28"/>
          <w:szCs w:val="28"/>
        </w:rPr>
        <w:t>.</w:t>
      </w:r>
    </w:p>
    <w:p w:rsidR="005866B0" w:rsidRDefault="00ED2BA2" w:rsidP="0019437E">
      <w:pPr>
        <w:pStyle w:val="a6"/>
        <w:shd w:val="clear" w:color="auto" w:fill="FFFFFF"/>
        <w:jc w:val="both"/>
        <w:rPr>
          <w:color w:val="21212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5866B0">
        <w:rPr>
          <w:color w:val="212121"/>
          <w:sz w:val="28"/>
          <w:szCs w:val="28"/>
        </w:rPr>
        <w:t>Оформить гараж в упрощенном порядке можно</w:t>
      </w:r>
      <w:r w:rsidR="005866B0" w:rsidRPr="00C52FFE">
        <w:rPr>
          <w:color w:val="212121"/>
          <w:sz w:val="28"/>
          <w:szCs w:val="28"/>
        </w:rPr>
        <w:t xml:space="preserve"> </w:t>
      </w:r>
      <w:r w:rsidR="005866B0">
        <w:rPr>
          <w:color w:val="212121"/>
          <w:sz w:val="28"/>
          <w:szCs w:val="28"/>
        </w:rPr>
        <w:t>до</w:t>
      </w:r>
      <w:r w:rsidR="005866B0" w:rsidRPr="00C52FFE">
        <w:rPr>
          <w:color w:val="212121"/>
          <w:sz w:val="28"/>
          <w:szCs w:val="28"/>
        </w:rPr>
        <w:t> 1 сентября 2026 года.</w:t>
      </w:r>
    </w:p>
    <w:p w:rsidR="005866B0" w:rsidRPr="00C52FFE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Для этого </w:t>
      </w:r>
      <w:r w:rsidR="00224EF0">
        <w:rPr>
          <w:color w:val="212121"/>
          <w:sz w:val="28"/>
          <w:szCs w:val="28"/>
        </w:rPr>
        <w:t xml:space="preserve">в отношении гаража </w:t>
      </w:r>
      <w:r>
        <w:rPr>
          <w:color w:val="212121"/>
          <w:sz w:val="28"/>
          <w:szCs w:val="28"/>
        </w:rPr>
        <w:t>должны быть соблюдены</w:t>
      </w:r>
      <w:r w:rsidRPr="00C52FF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следующие</w:t>
      </w:r>
      <w:r w:rsidRPr="00C52FFE">
        <w:rPr>
          <w:color w:val="212121"/>
          <w:sz w:val="28"/>
          <w:szCs w:val="28"/>
        </w:rPr>
        <w:t xml:space="preserve"> условия: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он должен </w:t>
      </w:r>
      <w:r w:rsidR="005866B0" w:rsidRPr="005B500A">
        <w:rPr>
          <w:color w:val="212121"/>
          <w:sz w:val="28"/>
          <w:szCs w:val="28"/>
        </w:rPr>
        <w:t>являт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 </w:t>
      </w:r>
      <w:r w:rsidR="005866B0" w:rsidRPr="005B500A">
        <w:rPr>
          <w:bCs/>
          <w:color w:val="212121"/>
          <w:sz w:val="28"/>
          <w:szCs w:val="28"/>
        </w:rPr>
        <w:t>капитальной постройкой</w:t>
      </w:r>
      <w:r w:rsidR="005866B0" w:rsidRPr="005B500A">
        <w:rPr>
          <w:color w:val="212121"/>
          <w:sz w:val="28"/>
          <w:szCs w:val="28"/>
        </w:rPr>
        <w:t> или находит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 на территории гаражного кооператива;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должен быть </w:t>
      </w:r>
      <w:r w:rsidR="005866B0" w:rsidRPr="005B500A">
        <w:rPr>
          <w:bCs/>
          <w:color w:val="212121"/>
          <w:sz w:val="28"/>
          <w:szCs w:val="28"/>
        </w:rPr>
        <w:t>построен</w:t>
      </w:r>
      <w:r w:rsidR="005866B0" w:rsidRPr="005B500A">
        <w:rPr>
          <w:color w:val="212121"/>
          <w:sz w:val="28"/>
          <w:szCs w:val="28"/>
        </w:rPr>
        <w:t> </w:t>
      </w:r>
      <w:r w:rsidR="005866B0" w:rsidRPr="005B500A">
        <w:rPr>
          <w:bCs/>
          <w:color w:val="212121"/>
          <w:sz w:val="28"/>
          <w:szCs w:val="28"/>
        </w:rPr>
        <w:t xml:space="preserve">до </w:t>
      </w:r>
      <w:r w:rsidR="0019437E">
        <w:rPr>
          <w:bCs/>
          <w:color w:val="212121"/>
          <w:sz w:val="28"/>
          <w:szCs w:val="28"/>
        </w:rPr>
        <w:t>30 декабря</w:t>
      </w:r>
      <w:r w:rsidR="005866B0" w:rsidRPr="005B500A">
        <w:rPr>
          <w:bCs/>
          <w:color w:val="212121"/>
          <w:sz w:val="28"/>
          <w:szCs w:val="28"/>
        </w:rPr>
        <w:t xml:space="preserve"> 2004 года (до введения в действие действующего Градостроительного кодекса Российской Федерации); </w:t>
      </w:r>
    </w:p>
    <w:p w:rsid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не должен быть </w:t>
      </w:r>
      <w:r w:rsidR="005866B0" w:rsidRPr="005B500A">
        <w:rPr>
          <w:bCs/>
          <w:color w:val="212121"/>
          <w:sz w:val="28"/>
          <w:szCs w:val="28"/>
        </w:rPr>
        <w:t>признан самовольной постройкой</w:t>
      </w:r>
      <w:r w:rsidR="005866B0" w:rsidRPr="005B500A">
        <w:rPr>
          <w:color w:val="212121"/>
          <w:sz w:val="28"/>
          <w:szCs w:val="28"/>
        </w:rPr>
        <w:t xml:space="preserve"> судом или местными органами власти;  </w:t>
      </w:r>
    </w:p>
    <w:p w:rsidR="0019437E" w:rsidRPr="005B500A" w:rsidRDefault="0019437E" w:rsidP="0019437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EC0FB5">
        <w:rPr>
          <w:bCs/>
          <w:color w:val="000000" w:themeColor="text1"/>
          <w:sz w:val="28"/>
          <w:szCs w:val="28"/>
        </w:rPr>
        <w:t>«</w:t>
      </w:r>
      <w:r>
        <w:rPr>
          <w:bCs/>
          <w:i/>
          <w:color w:val="000000" w:themeColor="text1"/>
          <w:sz w:val="28"/>
          <w:szCs w:val="28"/>
        </w:rPr>
        <w:t xml:space="preserve">Законом предусмотрено, что под действие «гаражной амнистии» попадают как индивидуальные гаражи, так и боксы, которые </w:t>
      </w:r>
      <w:r w:rsidR="00F87600">
        <w:rPr>
          <w:bCs/>
          <w:i/>
          <w:color w:val="000000" w:themeColor="text1"/>
          <w:sz w:val="28"/>
          <w:szCs w:val="28"/>
        </w:rPr>
        <w:t>имеют общие стены, крыши, фундамент и коммуникации. Более того, одноэтажные блокированные гаражи признаются сам</w:t>
      </w:r>
      <w:r w:rsidR="00224EF0">
        <w:rPr>
          <w:bCs/>
          <w:i/>
          <w:color w:val="000000" w:themeColor="text1"/>
          <w:sz w:val="28"/>
          <w:szCs w:val="28"/>
        </w:rPr>
        <w:t xml:space="preserve">остоятельными зданиями в целях возможности </w:t>
      </w:r>
      <w:r w:rsidR="00F87600">
        <w:rPr>
          <w:bCs/>
          <w:i/>
          <w:color w:val="000000" w:themeColor="text1"/>
          <w:sz w:val="28"/>
          <w:szCs w:val="28"/>
        </w:rPr>
        <w:t>оформ</w:t>
      </w:r>
      <w:r w:rsidR="00224EF0">
        <w:rPr>
          <w:bCs/>
          <w:i/>
          <w:color w:val="000000" w:themeColor="text1"/>
          <w:sz w:val="28"/>
          <w:szCs w:val="28"/>
        </w:rPr>
        <w:t>ления</w:t>
      </w:r>
      <w:r w:rsidR="00F87600">
        <w:rPr>
          <w:bCs/>
          <w:i/>
          <w:color w:val="000000" w:themeColor="text1"/>
          <w:sz w:val="28"/>
          <w:szCs w:val="28"/>
        </w:rPr>
        <w:t xml:space="preserve"> земельны</w:t>
      </w:r>
      <w:r w:rsidR="00224EF0">
        <w:rPr>
          <w:bCs/>
          <w:i/>
          <w:color w:val="000000" w:themeColor="text1"/>
          <w:sz w:val="28"/>
          <w:szCs w:val="28"/>
        </w:rPr>
        <w:t>х</w:t>
      </w:r>
      <w:r w:rsidR="00F87600">
        <w:rPr>
          <w:bCs/>
          <w:i/>
          <w:color w:val="000000" w:themeColor="text1"/>
          <w:sz w:val="28"/>
          <w:szCs w:val="28"/>
        </w:rPr>
        <w:t xml:space="preserve"> уча</w:t>
      </w:r>
      <w:r w:rsidR="00224EF0">
        <w:rPr>
          <w:bCs/>
          <w:i/>
          <w:color w:val="000000" w:themeColor="text1"/>
          <w:sz w:val="28"/>
          <w:szCs w:val="28"/>
        </w:rPr>
        <w:t>стков под ними</w:t>
      </w:r>
      <w:r w:rsidRPr="00EC0FB5">
        <w:rPr>
          <w:bCs/>
          <w:color w:val="000000" w:themeColor="text1"/>
          <w:sz w:val="28"/>
          <w:szCs w:val="28"/>
        </w:rPr>
        <w:t xml:space="preserve">», </w:t>
      </w:r>
      <w:r w:rsidRPr="00EC0FB5">
        <w:rPr>
          <w:b/>
          <w:bCs/>
          <w:color w:val="000000" w:themeColor="text1"/>
          <w:sz w:val="28"/>
          <w:szCs w:val="28"/>
        </w:rPr>
        <w:t xml:space="preserve">– </w:t>
      </w:r>
      <w:r>
        <w:rPr>
          <w:bCs/>
          <w:color w:val="000000" w:themeColor="text1"/>
          <w:sz w:val="28"/>
          <w:szCs w:val="28"/>
        </w:rPr>
        <w:t>отмечает</w:t>
      </w:r>
      <w:r w:rsidRPr="00EC0FB5">
        <w:rPr>
          <w:b/>
          <w:bCs/>
          <w:color w:val="000000" w:themeColor="text1"/>
          <w:sz w:val="28"/>
          <w:szCs w:val="28"/>
        </w:rPr>
        <w:t xml:space="preserve"> </w:t>
      </w:r>
      <w:r w:rsidRPr="00EC0FB5">
        <w:rPr>
          <w:b/>
          <w:color w:val="000000" w:themeColor="text1"/>
          <w:sz w:val="28"/>
          <w:szCs w:val="28"/>
        </w:rPr>
        <w:t>руководитель Управления Росреестра по Владимирской области Алексей Сарыгин</w:t>
      </w:r>
      <w:r w:rsidRPr="00EC0FB5">
        <w:rPr>
          <w:b/>
          <w:bCs/>
          <w:color w:val="000000" w:themeColor="text1"/>
          <w:sz w:val="28"/>
          <w:szCs w:val="28"/>
        </w:rPr>
        <w:t>.</w:t>
      </w:r>
    </w:p>
    <w:p w:rsidR="005866B0" w:rsidRDefault="00CF1419" w:rsidP="005B500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866B0" w:rsidRPr="00C52FFE">
        <w:rPr>
          <w:rFonts w:cs="Times New Roman"/>
          <w:sz w:val="28"/>
          <w:szCs w:val="28"/>
        </w:rPr>
        <w:t>Гаражной амнистией могут воспользоваться: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color w:val="212121"/>
          <w:sz w:val="28"/>
          <w:szCs w:val="28"/>
        </w:rPr>
        <w:t>лица, которым предоставлялся гараж или земельный участок для его строительства</w:t>
      </w:r>
      <w:r w:rsidRPr="00C52FFE">
        <w:rPr>
          <w:rFonts w:cs="Times New Roman"/>
          <w:color w:val="212121"/>
          <w:sz w:val="28"/>
          <w:szCs w:val="28"/>
        </w:rPr>
        <w:t>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которые приобрели гараж в результате купли-продажи или дарения;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унаследовавшие гараж.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Какие документы предусмотрены гаражной амнистией: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любое решение органа власти (в том числе советского периода), подтверждающее, что ранее был предоставлен земельный участок под гаражом, либо любое решение завода, фабрики и т.д., при котором был построен гараж</w:t>
      </w:r>
      <w:r w:rsidR="005B500A">
        <w:rPr>
          <w:color w:val="212121"/>
          <w:sz w:val="28"/>
          <w:szCs w:val="28"/>
        </w:rPr>
        <w:t>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 xml:space="preserve"> - справка или другой документ, подтверждающие выпл</w:t>
      </w:r>
      <w:r>
        <w:rPr>
          <w:color w:val="212121"/>
          <w:sz w:val="28"/>
          <w:szCs w:val="28"/>
        </w:rPr>
        <w:t>ату пая в гаражном кооперативе;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решение общего собрания гаражного кооператив</w:t>
      </w:r>
      <w:r>
        <w:rPr>
          <w:color w:val="212121"/>
          <w:sz w:val="28"/>
          <w:szCs w:val="28"/>
        </w:rPr>
        <w:t>а, подтверждающее выделение гаража;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старый технический паспорт на гараж, который заказывали для технической инвентариз</w:t>
      </w:r>
      <w:r>
        <w:rPr>
          <w:color w:val="212121"/>
          <w:sz w:val="28"/>
          <w:szCs w:val="28"/>
        </w:rPr>
        <w:t>ации;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документы о подключении гаража к электрическим сетям или иным сетям инженерного обеспечения;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документы о наследстве</w:t>
      </w:r>
      <w:r>
        <w:rPr>
          <w:color w:val="212121"/>
          <w:sz w:val="28"/>
          <w:szCs w:val="28"/>
        </w:rPr>
        <w:t xml:space="preserve"> или о приобретении гаража</w:t>
      </w:r>
      <w:r w:rsidR="0019437E">
        <w:rPr>
          <w:color w:val="212121"/>
          <w:sz w:val="28"/>
          <w:szCs w:val="28"/>
        </w:rPr>
        <w:t xml:space="preserve"> и др</w:t>
      </w:r>
      <w:r>
        <w:rPr>
          <w:color w:val="212121"/>
          <w:sz w:val="28"/>
          <w:szCs w:val="28"/>
        </w:rPr>
        <w:t>.</w:t>
      </w:r>
    </w:p>
    <w:p w:rsidR="00E65EBF" w:rsidRPr="00EC0FB5" w:rsidRDefault="00E65EBF" w:rsidP="00E65EBF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 «</w:t>
      </w:r>
      <w:r w:rsidRPr="00E65EBF">
        <w:rPr>
          <w:i/>
          <w:color w:val="212121"/>
          <w:sz w:val="28"/>
          <w:szCs w:val="28"/>
        </w:rPr>
        <w:t xml:space="preserve">Если не удалось найти нужные документы, это еще не означает, что вы не сможете оформить гараж. Органы местного самоуправления могут определить перечень </w:t>
      </w:r>
      <w:r w:rsidR="0069027D">
        <w:rPr>
          <w:i/>
          <w:color w:val="212121"/>
          <w:sz w:val="28"/>
          <w:szCs w:val="28"/>
        </w:rPr>
        <w:t>иных</w:t>
      </w:r>
      <w:r w:rsidRPr="00E65EBF">
        <w:rPr>
          <w:i/>
          <w:color w:val="212121"/>
          <w:sz w:val="28"/>
          <w:szCs w:val="28"/>
        </w:rPr>
        <w:t xml:space="preserve"> документов, являющихся основанием для оформления гаража по «</w:t>
      </w:r>
      <w:r w:rsidR="00F87600">
        <w:rPr>
          <w:i/>
          <w:color w:val="212121"/>
          <w:sz w:val="28"/>
          <w:szCs w:val="28"/>
        </w:rPr>
        <w:t>г</w:t>
      </w:r>
      <w:r w:rsidRPr="00E65EBF">
        <w:rPr>
          <w:i/>
          <w:color w:val="212121"/>
          <w:sz w:val="28"/>
          <w:szCs w:val="28"/>
        </w:rPr>
        <w:t>аражной амнистии</w:t>
      </w:r>
      <w:r>
        <w:rPr>
          <w:color w:val="000000" w:themeColor="text1"/>
          <w:sz w:val="28"/>
          <w:szCs w:val="28"/>
        </w:rPr>
        <w:t xml:space="preserve">», - комментирует </w:t>
      </w:r>
      <w:r>
        <w:rPr>
          <w:b/>
          <w:bCs/>
          <w:color w:val="000000" w:themeColor="text1"/>
          <w:sz w:val="28"/>
          <w:szCs w:val="28"/>
        </w:rPr>
        <w:t>заместитель директора</w:t>
      </w:r>
      <w:r w:rsidRPr="00EC0FB5">
        <w:rPr>
          <w:b/>
          <w:bCs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>
        <w:rPr>
          <w:b/>
          <w:bCs/>
          <w:color w:val="000000" w:themeColor="text1"/>
          <w:sz w:val="28"/>
          <w:szCs w:val="28"/>
        </w:rPr>
        <w:t>Елена Пляскина</w:t>
      </w:r>
      <w:r w:rsidR="000D316B">
        <w:rPr>
          <w:b/>
          <w:bCs/>
          <w:color w:val="000000" w:themeColor="text1"/>
          <w:sz w:val="28"/>
          <w:szCs w:val="28"/>
        </w:rPr>
        <w:t>.</w:t>
      </w:r>
    </w:p>
    <w:p w:rsidR="005866B0" w:rsidRPr="00C52FFE" w:rsidRDefault="00E65EBF" w:rsidP="004F11FB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F1419">
        <w:rPr>
          <w:rFonts w:eastAsiaTheme="minorHAnsi"/>
          <w:sz w:val="28"/>
          <w:szCs w:val="28"/>
          <w:lang w:eastAsia="en-US"/>
        </w:rPr>
        <w:t>Для оф</w:t>
      </w:r>
      <w:r w:rsidR="002A3606">
        <w:rPr>
          <w:rFonts w:eastAsiaTheme="minorHAnsi"/>
          <w:sz w:val="28"/>
          <w:szCs w:val="28"/>
          <w:lang w:eastAsia="en-US"/>
        </w:rPr>
        <w:t>ормления гаража в собственность</w:t>
      </w:r>
      <w:r w:rsidR="00CF1419">
        <w:rPr>
          <w:rFonts w:eastAsiaTheme="minorHAnsi"/>
          <w:sz w:val="28"/>
          <w:szCs w:val="28"/>
          <w:lang w:eastAsia="en-US"/>
        </w:rPr>
        <w:t xml:space="preserve"> необходимо обратиться в орган местного самоуправления с заявлением о предоставлении </w:t>
      </w:r>
      <w:r w:rsidR="004F11FB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CF1419">
        <w:rPr>
          <w:rFonts w:eastAsiaTheme="minorHAnsi"/>
          <w:sz w:val="28"/>
          <w:szCs w:val="28"/>
          <w:lang w:eastAsia="en-US"/>
        </w:rPr>
        <w:t>участка под существую</w:t>
      </w:r>
      <w:r w:rsidR="00224EF0">
        <w:rPr>
          <w:rFonts w:eastAsiaTheme="minorHAnsi"/>
          <w:sz w:val="28"/>
          <w:szCs w:val="28"/>
          <w:lang w:eastAsia="en-US"/>
        </w:rPr>
        <w:t>щим гаражом с приложением вышеуказанных</w:t>
      </w:r>
      <w:r w:rsidR="00CF1419">
        <w:rPr>
          <w:rFonts w:eastAsiaTheme="minorHAnsi"/>
          <w:sz w:val="28"/>
          <w:szCs w:val="28"/>
          <w:lang w:eastAsia="en-US"/>
        </w:rPr>
        <w:t xml:space="preserve"> документ</w:t>
      </w:r>
      <w:r w:rsidR="00224EF0">
        <w:rPr>
          <w:rFonts w:eastAsiaTheme="minorHAnsi"/>
          <w:sz w:val="28"/>
          <w:szCs w:val="28"/>
          <w:lang w:eastAsia="en-US"/>
        </w:rPr>
        <w:t>ов</w:t>
      </w:r>
      <w:r w:rsidR="00CF1419">
        <w:rPr>
          <w:rFonts w:eastAsiaTheme="minorHAnsi"/>
          <w:sz w:val="28"/>
          <w:szCs w:val="28"/>
          <w:lang w:eastAsia="en-US"/>
        </w:rPr>
        <w:t>, подтверждающ</w:t>
      </w:r>
      <w:r w:rsidR="00224EF0">
        <w:rPr>
          <w:rFonts w:eastAsiaTheme="minorHAnsi"/>
          <w:sz w:val="28"/>
          <w:szCs w:val="28"/>
          <w:lang w:eastAsia="en-US"/>
        </w:rPr>
        <w:t>их</w:t>
      </w:r>
      <w:r w:rsidR="00CF1419">
        <w:rPr>
          <w:rFonts w:eastAsiaTheme="minorHAnsi"/>
          <w:sz w:val="28"/>
          <w:szCs w:val="28"/>
          <w:lang w:eastAsia="en-US"/>
        </w:rPr>
        <w:t xml:space="preserve"> факт владения гаражом,</w:t>
      </w:r>
      <w:r w:rsidR="004F11FB">
        <w:rPr>
          <w:rFonts w:eastAsiaTheme="minorHAnsi"/>
          <w:sz w:val="28"/>
          <w:szCs w:val="28"/>
          <w:lang w:eastAsia="en-US"/>
        </w:rPr>
        <w:t xml:space="preserve"> а также иной, предусмотренной </w:t>
      </w:r>
      <w:hyperlink r:id="rId10" w:tgtFrame="_blank" w:history="1">
        <w:r w:rsidR="004F11FB">
          <w:rPr>
            <w:rStyle w:val="a5"/>
            <w:sz w:val="28"/>
            <w:szCs w:val="28"/>
          </w:rPr>
          <w:t>Федеральным законом</w:t>
        </w:r>
        <w:r w:rsidR="004F11FB" w:rsidRPr="00C52FFE">
          <w:rPr>
            <w:rStyle w:val="a5"/>
            <w:sz w:val="28"/>
            <w:szCs w:val="28"/>
          </w:rPr>
          <w:t xml:space="preserve"> от 05.04.2021 №</w:t>
        </w:r>
        <w:r w:rsidR="004F11FB">
          <w:rPr>
            <w:rStyle w:val="a5"/>
            <w:sz w:val="28"/>
            <w:szCs w:val="28"/>
          </w:rPr>
          <w:t xml:space="preserve"> </w:t>
        </w:r>
        <w:r w:rsidR="004F11FB" w:rsidRPr="00C52FFE">
          <w:rPr>
            <w:rStyle w:val="a5"/>
            <w:sz w:val="28"/>
            <w:szCs w:val="28"/>
          </w:rPr>
          <w:t>79-ФЗ</w:t>
        </w:r>
      </w:hyperlink>
      <w:r w:rsidR="004F11FB">
        <w:rPr>
          <w:color w:val="212121"/>
          <w:sz w:val="28"/>
          <w:szCs w:val="28"/>
        </w:rPr>
        <w:t>,</w:t>
      </w:r>
      <w:r w:rsidR="00E543FA">
        <w:rPr>
          <w:color w:val="212121"/>
          <w:sz w:val="28"/>
          <w:szCs w:val="28"/>
        </w:rPr>
        <w:t xml:space="preserve"> документации</w:t>
      </w:r>
      <w:r w:rsidR="006F0179">
        <w:rPr>
          <w:color w:val="212121"/>
          <w:sz w:val="28"/>
          <w:szCs w:val="28"/>
        </w:rPr>
        <w:t>.</w:t>
      </w:r>
      <w:r w:rsidR="005866B0">
        <w:rPr>
          <w:sz w:val="28"/>
          <w:szCs w:val="28"/>
        </w:rPr>
        <w:t xml:space="preserve"> </w:t>
      </w:r>
    </w:p>
    <w:p w:rsidR="005866B0" w:rsidRDefault="005866B0" w:rsidP="005866B0">
      <w:pPr>
        <w:jc w:val="both"/>
      </w:pPr>
    </w:p>
    <w:p w:rsidR="005866B0" w:rsidRDefault="00154A89" w:rsidP="005866B0">
      <w:pPr>
        <w:jc w:val="both"/>
        <w:rPr>
          <w:rFonts w:cs="Times New Roman"/>
          <w:sz w:val="28"/>
          <w:szCs w:val="28"/>
        </w:rPr>
      </w:pPr>
      <w:r>
        <w:rPr>
          <w:rFonts w:cstheme="minorBid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4B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5866B0">
        <w:rPr>
          <w:rFonts w:cs="Times New Roman"/>
          <w:sz w:val="28"/>
          <w:szCs w:val="28"/>
        </w:rPr>
        <w:t xml:space="preserve">    </w:t>
      </w:r>
    </w:p>
    <w:p w:rsidR="005866B0" w:rsidRDefault="005866B0" w:rsidP="005866B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5866B0" w:rsidRDefault="005866B0" w:rsidP="005866B0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5866B0" w:rsidRPr="00F40BF5" w:rsidRDefault="005866B0" w:rsidP="005866B0">
      <w:pPr>
        <w:pStyle w:val="a6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5866B0" w:rsidRDefault="005866B0" w:rsidP="005866B0"/>
    <w:p w:rsidR="007E0FCD" w:rsidRPr="007E0FCD" w:rsidRDefault="007E0FCD" w:rsidP="005866B0">
      <w:pPr>
        <w:spacing w:line="288" w:lineRule="auto"/>
        <w:ind w:firstLine="567"/>
        <w:jc w:val="center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7E0FCD" w:rsidRPr="007E0FCD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EA" w:rsidRDefault="00C030EA">
      <w:r>
        <w:separator/>
      </w:r>
    </w:p>
  </w:endnote>
  <w:endnote w:type="continuationSeparator" w:id="0">
    <w:p w:rsidR="00C030EA" w:rsidRDefault="00C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7E" w:rsidRDefault="0019437E" w:rsidP="003A4DCE">
    <w:pPr>
      <w:pStyle w:val="a3"/>
    </w:pPr>
  </w:p>
  <w:p w:rsidR="0019437E" w:rsidRDefault="001943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EA" w:rsidRDefault="00C030EA">
      <w:r>
        <w:separator/>
      </w:r>
    </w:p>
  </w:footnote>
  <w:footnote w:type="continuationSeparator" w:id="0">
    <w:p w:rsidR="00C030EA" w:rsidRDefault="00C0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03F1A"/>
    <w:multiLevelType w:val="hybridMultilevel"/>
    <w:tmpl w:val="1A72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16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5B33"/>
    <w:rsid w:val="00153CB3"/>
    <w:rsid w:val="00154A89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437E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24EF0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3606"/>
    <w:rsid w:val="002A40DB"/>
    <w:rsid w:val="002A4489"/>
    <w:rsid w:val="002A5EEE"/>
    <w:rsid w:val="002A7617"/>
    <w:rsid w:val="002B0F6A"/>
    <w:rsid w:val="002B2F22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11FB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212FC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739D3"/>
    <w:rsid w:val="005853C8"/>
    <w:rsid w:val="005866B0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00A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27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0179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3CFD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0EA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418C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419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43FA"/>
    <w:rsid w:val="00E626F7"/>
    <w:rsid w:val="00E65126"/>
    <w:rsid w:val="00E656A4"/>
    <w:rsid w:val="00E65EBF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2BA2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0E8F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615D"/>
    <w:rsid w:val="00F57CCF"/>
    <w:rsid w:val="00F61E82"/>
    <w:rsid w:val="00F62C8C"/>
    <w:rsid w:val="00F64544"/>
    <w:rsid w:val="00F737D3"/>
    <w:rsid w:val="00F73AD2"/>
    <w:rsid w:val="00F74063"/>
    <w:rsid w:val="00F746EA"/>
    <w:rsid w:val="00F87600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2A6F"/>
    <w:rsid w:val="00FC4F34"/>
    <w:rsid w:val="00FC5203"/>
    <w:rsid w:val="00FC632D"/>
    <w:rsid w:val="00FC7291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9DD0-1222-49BC-A846-F7E5C08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81391/46b4b351a6eb6bf3c553d41eb663011c2cb38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81391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CD87-E0C3-45DC-B404-A63A164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Sekretar</cp:lastModifiedBy>
  <cp:revision>2</cp:revision>
  <cp:lastPrinted>2022-04-06T11:58:00Z</cp:lastPrinted>
  <dcterms:created xsi:type="dcterms:W3CDTF">2022-06-24T11:30:00Z</dcterms:created>
  <dcterms:modified xsi:type="dcterms:W3CDTF">2022-06-24T11:30:00Z</dcterms:modified>
</cp:coreProperties>
</file>