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A6C56" w:rsidRPr="00DC3EFE" w:rsidTr="001E119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7A6C56" w:rsidRPr="00DC3EFE" w:rsidTr="001E119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7A6C56" w:rsidRPr="00DC3EFE" w:rsidRDefault="007A6C56" w:rsidP="006E1EB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от </w:t>
            </w:r>
            <w:r w:rsidR="002B4F88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30.08.2019</w:t>
            </w:r>
          </w:p>
        </w:tc>
        <w:tc>
          <w:tcPr>
            <w:tcW w:w="4984" w:type="dxa"/>
            <w:vAlign w:val="center"/>
          </w:tcPr>
          <w:p w:rsidR="007A6C56" w:rsidRPr="00DC3EFE" w:rsidRDefault="007A6C56" w:rsidP="006E1EB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 xml:space="preserve">№ </w:t>
            </w:r>
            <w:r w:rsidR="002B4F88">
              <w:rPr>
                <w:rFonts w:ascii="Times New Roman" w:eastAsia="Times New Roman" w:hAnsi="Times New Roman" w:cs="Times New Roman"/>
                <w:bCs/>
                <w:sz w:val="24"/>
                <w:szCs w:val="40"/>
              </w:rPr>
              <w:t>507</w:t>
            </w:r>
          </w:p>
        </w:tc>
      </w:tr>
    </w:tbl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2C4198" w:rsidRDefault="002C4198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О внесении изменений в постановление администрации</w:t>
      </w:r>
    </w:p>
    <w:p w:rsidR="007A6C56" w:rsidRPr="00DC3EFE" w:rsidRDefault="002C4198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г. Струнино от 07.12.2017 №706 «</w:t>
      </w:r>
      <w:r w:rsidR="007A6C56" w:rsidRPr="00DC3EFE">
        <w:rPr>
          <w:rFonts w:ascii="Times New Roman" w:eastAsia="Times New Roman" w:hAnsi="Times New Roman" w:cs="Times New Roman"/>
          <w:i/>
          <w:sz w:val="24"/>
          <w:szCs w:val="28"/>
        </w:rPr>
        <w:t>Об утверждении административного регламента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я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»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7A6C56" w:rsidRDefault="007A6C56" w:rsidP="007A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Федеральным законом от 09.02.2009 № 8-ФЗ "Об обеспечении доступа к информации о деятельности государственных органов и органов местного самоуправления", Федеральным законом от 27 июля 2010 г. № 210-ФЗ "Об организации предоставления государственных и муниципальных услуг", Устав</w:t>
      </w:r>
      <w:r>
        <w:rPr>
          <w:rFonts w:ascii="Times New Roman" w:eastAsia="Times New Roman" w:hAnsi="Times New Roman" w:cs="Times New Roman"/>
          <w:sz w:val="28"/>
          <w:szCs w:val="28"/>
        </w:rPr>
        <w:t>ом города Струнино</w:t>
      </w: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7A6C56" w:rsidRPr="00DC3EFE" w:rsidRDefault="007A6C56" w:rsidP="007A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7A6C56" w:rsidP="007A6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A6C56" w:rsidRPr="002C4198" w:rsidRDefault="002C4198" w:rsidP="002C419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</w:t>
      </w:r>
      <w:r w:rsidRPr="002C419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4198">
        <w:rPr>
          <w:rFonts w:ascii="Times New Roman" w:eastAsia="Times New Roman" w:hAnsi="Times New Roman" w:cs="Times New Roman"/>
          <w:bCs/>
          <w:sz w:val="28"/>
          <w:szCs w:val="28"/>
        </w:rPr>
        <w:t>г. Струнино от 07.12.2017 №706 «Об утверждении административного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419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администрацией муниципального образования г. Струнино муниципальной услуги «Выдача разрешения на ввод объекта в эксплуатацию»</w:t>
      </w:r>
      <w:r w:rsidR="007A6C56" w:rsidRPr="002C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C56" w:rsidRPr="002C4198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приложению.</w:t>
      </w:r>
    </w:p>
    <w:p w:rsidR="002C4198" w:rsidRPr="002E5F9B" w:rsidRDefault="002C4198" w:rsidP="002C419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9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г. Струнино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городструнино.рф</w:t>
      </w:r>
      <w:proofErr w:type="spellEnd"/>
      <w:r w:rsidRPr="002E5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C56" w:rsidRDefault="007A6C56" w:rsidP="007A6C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F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5F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C56" w:rsidRPr="00DC3EFE" w:rsidRDefault="007A6C56" w:rsidP="007A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Pr="00DC3EFE" w:rsidRDefault="007A6C56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О.И. </w:t>
      </w:r>
      <w:proofErr w:type="spellStart"/>
      <w:r w:rsidRPr="00DC3EFE">
        <w:rPr>
          <w:rFonts w:ascii="Times New Roman" w:eastAsia="Times New Roman" w:hAnsi="Times New Roman" w:cs="Times New Roman"/>
          <w:sz w:val="28"/>
          <w:szCs w:val="28"/>
        </w:rPr>
        <w:t>Бояркова</w:t>
      </w:r>
      <w:proofErr w:type="spellEnd"/>
    </w:p>
    <w:p w:rsidR="007A6C56" w:rsidRPr="00DC3EFE" w:rsidRDefault="007A6C56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1738F" w:rsidRDefault="0031738F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871E74" w:rsidRDefault="002B4F88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30.08.2019    </w:t>
      </w:r>
      <w:bookmarkStart w:id="0" w:name="_GoBack"/>
      <w:bookmarkEnd w:id="0"/>
      <w:r w:rsidR="00871E74"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507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органа местного самоуправления, непосредственно </w:t>
      </w:r>
      <w:proofErr w:type="gramStart"/>
      <w:r w:rsidRPr="006D1916">
        <w:rPr>
          <w:rFonts w:ascii="Times New Roman" w:hAnsi="Times New Roman" w:cs="Times New Roman"/>
          <w:sz w:val="20"/>
          <w:szCs w:val="20"/>
        </w:rPr>
        <w:t>предоставляющий</w:t>
      </w:r>
      <w:proofErr w:type="gramEnd"/>
      <w:r w:rsidRPr="006D1916">
        <w:rPr>
          <w:rFonts w:ascii="Times New Roman" w:hAnsi="Times New Roman" w:cs="Times New Roman"/>
          <w:sz w:val="20"/>
          <w:szCs w:val="20"/>
        </w:rPr>
        <w:t xml:space="preserve"> муниципальную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</w:t>
      </w:r>
      <w:proofErr w:type="spell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spellStart"/>
      <w:proofErr w:type="gramStart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четв</w:t>
      </w:r>
      <w:proofErr w:type="spellEnd"/>
      <w:proofErr w:type="gramEnd"/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9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(указывается почтовый адрес)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704B3" w:rsidRPr="008F3696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lastRenderedPageBreak/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2B03" w:rsidRP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B2B03">
        <w:rPr>
          <w:rFonts w:ascii="Times New Roman" w:hAnsi="Times New Roman" w:cs="Times New Roman"/>
          <w:bCs/>
          <w:sz w:val="28"/>
          <w:szCs w:val="28"/>
        </w:rPr>
        <w:t xml:space="preserve">) документ, подтверждающий заключение </w:t>
      </w:r>
      <w:proofErr w:type="gramStart"/>
      <w:r w:rsidRPr="00EB2B03">
        <w:rPr>
          <w:rFonts w:ascii="Times New Roman" w:hAnsi="Times New Roman" w:cs="Times New Roman"/>
          <w:bCs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B2B03">
        <w:rPr>
          <w:rFonts w:ascii="Times New Roman" w:hAnsi="Times New Roman" w:cs="Times New Roman"/>
          <w:bCs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B2B03" w:rsidRP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2B03">
        <w:rPr>
          <w:rFonts w:ascii="Times New Roman" w:hAnsi="Times New Roman" w:cs="Times New Roman"/>
          <w:bCs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B2B03">
        <w:rPr>
          <w:rFonts w:ascii="Times New Roman" w:hAnsi="Times New Roman" w:cs="Times New Roman"/>
          <w:bCs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</w:t>
      </w:r>
      <w:r>
        <w:rPr>
          <w:rFonts w:ascii="Times New Roman" w:hAnsi="Times New Roman" w:cs="Times New Roman"/>
          <w:bCs/>
          <w:sz w:val="28"/>
          <w:szCs w:val="28"/>
        </w:rPr>
        <w:t>енной регистрации недвижимости".</w:t>
      </w:r>
    </w:p>
    <w:p w:rsidR="00EB2B03" w:rsidRDefault="00EB2B0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36E">
        <w:rPr>
          <w:rFonts w:ascii="Times New Roman" w:hAnsi="Times New Roman" w:cs="Times New Roman"/>
          <w:sz w:val="28"/>
          <w:szCs w:val="28"/>
        </w:rPr>
        <w:t>. Перечень документов, предоставляемых заявителем самостоятельно</w:t>
      </w:r>
      <w:r w:rsidRPr="00EB2B03">
        <w:rPr>
          <w:rFonts w:ascii="Times New Roman" w:hAnsi="Times New Roman" w:cs="Times New Roman"/>
          <w:bCs/>
          <w:sz w:val="28"/>
          <w:szCs w:val="28"/>
        </w:rPr>
        <w:t>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B2B03" w:rsidRP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2B03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B2B03" w:rsidRP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EB2B03">
        <w:rPr>
          <w:rFonts w:ascii="Times New Roman" w:hAnsi="Times New Roman" w:cs="Times New Roman"/>
          <w:sz w:val="28"/>
          <w:szCs w:val="28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EB2B03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EB2B03" w:rsidRP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2B03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B2B03" w:rsidRDefault="00EB2B03" w:rsidP="00EB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EB2B03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</w:t>
      </w:r>
      <w:r>
        <w:rPr>
          <w:rFonts w:ascii="Times New Roman" w:hAnsi="Times New Roman" w:cs="Times New Roman"/>
          <w:sz w:val="28"/>
          <w:szCs w:val="28"/>
        </w:rPr>
        <w:t>кции линейного объекта.</w:t>
      </w:r>
      <w:proofErr w:type="gramEnd"/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</w:t>
      </w:r>
      <w:r w:rsidR="00EB2B03">
        <w:rPr>
          <w:rFonts w:ascii="Times New Roman" w:hAnsi="Times New Roman" w:cs="Times New Roman"/>
          <w:sz w:val="28"/>
          <w:szCs w:val="28"/>
        </w:rPr>
        <w:t>3</w:t>
      </w:r>
      <w:r w:rsidRPr="00AA136E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2C4198" w:rsidRPr="002C4198" w:rsidRDefault="002C4198" w:rsidP="002C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2C4198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C4198" w:rsidRPr="002C4198" w:rsidRDefault="002C4198" w:rsidP="002C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198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C419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433A6C" w:rsidRDefault="002C4198" w:rsidP="002C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198">
        <w:rPr>
          <w:rFonts w:ascii="Times New Roman" w:eastAsia="Times New Roman" w:hAnsi="Times New Roman" w:cs="Times New Roman"/>
          <w:sz w:val="28"/>
          <w:szCs w:val="28"/>
        </w:rPr>
        <w:t>3) разрешение на строительство;</w:t>
      </w:r>
    </w:p>
    <w:p w:rsidR="002C4198" w:rsidRPr="00AA136E" w:rsidRDefault="002C4198" w:rsidP="002C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C4198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2C419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1 статьи 54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2C4198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C4198">
        <w:rPr>
          <w:rFonts w:ascii="Times New Roman" w:hAnsi="Times New Roman" w:cs="Times New Roman"/>
          <w:sz w:val="28"/>
          <w:szCs w:val="28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2C4198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2C4198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2C419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7 статьи 54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2C4198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2B03">
        <w:rPr>
          <w:rFonts w:ascii="Times New Roman" w:hAnsi="Times New Roman" w:cs="Times New Roman"/>
          <w:sz w:val="28"/>
          <w:szCs w:val="28"/>
        </w:rPr>
        <w:t>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</w:t>
      </w:r>
      <w:r w:rsidR="00EB2B03">
        <w:rPr>
          <w:rFonts w:ascii="Times New Roman" w:hAnsi="Times New Roman" w:cs="Times New Roman"/>
          <w:sz w:val="28"/>
          <w:szCs w:val="28"/>
        </w:rPr>
        <w:t>ах</w:t>
      </w:r>
      <w:r w:rsidR="000E4B0F">
        <w:rPr>
          <w:rFonts w:ascii="Times New Roman" w:hAnsi="Times New Roman" w:cs="Times New Roman"/>
          <w:sz w:val="28"/>
          <w:szCs w:val="28"/>
        </w:rPr>
        <w:t xml:space="preserve"> 2.7.2 </w:t>
      </w:r>
      <w:r w:rsidR="00EB2B03">
        <w:rPr>
          <w:rFonts w:ascii="Times New Roman" w:hAnsi="Times New Roman" w:cs="Times New Roman"/>
          <w:sz w:val="28"/>
          <w:szCs w:val="28"/>
        </w:rPr>
        <w:t xml:space="preserve">и 2.7.3 </w:t>
      </w:r>
      <w:r w:rsidR="000E4B0F">
        <w:rPr>
          <w:rFonts w:ascii="Times New Roman" w:hAnsi="Times New Roman" w:cs="Times New Roman"/>
          <w:sz w:val="28"/>
          <w:szCs w:val="28"/>
        </w:rPr>
        <w:t>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Выдача градостроительного плана земельного участка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>; выдача разрешения на строительство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C40680" w:rsidRPr="00AA136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B2B03" w:rsidRPr="00EB2B03" w:rsidRDefault="00EB2B03" w:rsidP="00EB2B0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03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разделе 2.7 настоящего регламента</w:t>
      </w:r>
      <w:r w:rsidRPr="00EB2B03">
        <w:rPr>
          <w:rFonts w:ascii="Times New Roman" w:hAnsi="Times New Roman" w:cs="Times New Roman"/>
          <w:sz w:val="28"/>
          <w:szCs w:val="28"/>
        </w:rPr>
        <w:t>;</w:t>
      </w:r>
    </w:p>
    <w:p w:rsidR="00EB2B03" w:rsidRPr="00EB2B03" w:rsidRDefault="00EB2B03" w:rsidP="00EB2B0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03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B2B03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B2B03" w:rsidRPr="00EB2B03" w:rsidRDefault="00EB2B03" w:rsidP="00EB2B0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03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B2B03" w:rsidRPr="00EB2B03" w:rsidRDefault="00EB2B03" w:rsidP="00EB2B0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03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EB2B03" w:rsidRDefault="00EB2B03" w:rsidP="00EB2B03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03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EB2B03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B2B03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206D4" w:rsidRPr="00AA136E" w:rsidRDefault="00CD64E8" w:rsidP="00EB2B03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339" w:rsidRPr="00AA136E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</w:t>
      </w:r>
      <w:r w:rsidR="00F408DD" w:rsidRPr="005D467C">
        <w:rPr>
          <w:rFonts w:ascii="Times New Roman" w:hAnsi="Times New Roman" w:cs="Times New Roman"/>
          <w:sz w:val="28"/>
          <w:szCs w:val="28"/>
        </w:rPr>
        <w:lastRenderedPageBreak/>
        <w:t>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администрации г. Струнино</w:t>
      </w:r>
      <w:r w:rsidR="005D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наименование ОМСУ, фамилию, имя, отчество должностного лица ОМСУ, либо муниципального служащего, решения и действия (бездействие) которых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924E0D" w:rsidSect="00FB7FCA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24E0D">
        <w:rPr>
          <w:rFonts w:ascii="Times New Roman" w:hAnsi="Times New Roman" w:cs="Times New Roman"/>
          <w:sz w:val="18"/>
          <w:szCs w:val="18"/>
        </w:rPr>
        <w:t>(наименование построенного, реконструированного</w:t>
      </w:r>
      <w:proofErr w:type="gramEnd"/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(полный адрес построенного, реконструированного</w:t>
            </w:r>
            <w:proofErr w:type="gramEnd"/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5695D">
              <w:rPr>
                <w:rFonts w:ascii="Times New Roman" w:hAnsi="Times New Roman" w:cs="Times New Roman"/>
              </w:rPr>
              <w:t xml:space="preserve"> </w:t>
            </w:r>
            <w:r w:rsidR="009139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зем</w:t>
      </w:r>
      <w:r w:rsidR="00813950">
        <w:rPr>
          <w:rFonts w:ascii="Times New Roman" w:hAnsi="Times New Roman" w:cs="Times New Roman"/>
          <w:sz w:val="24"/>
          <w:szCs w:val="24"/>
        </w:rPr>
        <w:t>ельным участком</w:t>
      </w:r>
      <w:r w:rsidRPr="0015695D">
        <w:rPr>
          <w:rFonts w:ascii="Times New Roman" w:hAnsi="Times New Roman" w:cs="Times New Roman"/>
          <w:sz w:val="24"/>
          <w:szCs w:val="24"/>
        </w:rPr>
        <w:t xml:space="preserve"> закреплено  </w:t>
      </w:r>
      <w:r w:rsidR="00D80F11">
        <w:rPr>
          <w:rFonts w:ascii="Times New Roman" w:hAnsi="Times New Roman" w:cs="Times New Roman"/>
          <w:sz w:val="24"/>
          <w:szCs w:val="24"/>
        </w:rPr>
        <w:t>______________</w:t>
      </w:r>
      <w:r w:rsidR="00813950">
        <w:rPr>
          <w:rFonts w:ascii="Times New Roman" w:hAnsi="Times New Roman" w:cs="Times New Roman"/>
          <w:sz w:val="24"/>
          <w:szCs w:val="24"/>
        </w:rPr>
        <w:t>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79" w:rsidRDefault="00136479" w:rsidP="006A10C6">
      <w:pPr>
        <w:spacing w:after="0" w:line="240" w:lineRule="auto"/>
      </w:pPr>
      <w:r>
        <w:separator/>
      </w:r>
    </w:p>
  </w:endnote>
  <w:endnote w:type="continuationSeparator" w:id="0">
    <w:p w:rsidR="00136479" w:rsidRDefault="00136479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79" w:rsidRDefault="00136479" w:rsidP="006A10C6">
      <w:pPr>
        <w:spacing w:after="0" w:line="240" w:lineRule="auto"/>
      </w:pPr>
      <w:r>
        <w:separator/>
      </w:r>
    </w:p>
  </w:footnote>
  <w:footnote w:type="continuationSeparator" w:id="0">
    <w:p w:rsidR="00136479" w:rsidRDefault="00136479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376"/>
      <w:docPartObj>
        <w:docPartGallery w:val="Page Numbers (Top of Page)"/>
        <w:docPartUnique/>
      </w:docPartObj>
    </w:sdtPr>
    <w:sdtEndPr/>
    <w:sdtContent>
      <w:p w:rsidR="00881EC7" w:rsidRDefault="00917E35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1EC7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EC7" w:rsidRDefault="00881E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60B9"/>
    <w:rsid w:val="000F3143"/>
    <w:rsid w:val="000F3341"/>
    <w:rsid w:val="000F380F"/>
    <w:rsid w:val="00136479"/>
    <w:rsid w:val="00151524"/>
    <w:rsid w:val="0015695D"/>
    <w:rsid w:val="00157610"/>
    <w:rsid w:val="00161B0C"/>
    <w:rsid w:val="00171F0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B4F88"/>
    <w:rsid w:val="002C0B5C"/>
    <w:rsid w:val="002C28BF"/>
    <w:rsid w:val="002C4198"/>
    <w:rsid w:val="002E7D16"/>
    <w:rsid w:val="002F37D8"/>
    <w:rsid w:val="0031738F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C62A1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5E51"/>
    <w:rsid w:val="00433A6C"/>
    <w:rsid w:val="00437A2F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1BD3"/>
    <w:rsid w:val="005D467C"/>
    <w:rsid w:val="005D5856"/>
    <w:rsid w:val="005E0DB7"/>
    <w:rsid w:val="005F6570"/>
    <w:rsid w:val="00607D4A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2F98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1EB6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D643B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17E35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C13311"/>
    <w:rsid w:val="00C13999"/>
    <w:rsid w:val="00C22ED9"/>
    <w:rsid w:val="00C32A85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225DA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B2B03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902F4"/>
    <w:rsid w:val="00F926BE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01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971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n--c1acmtbcaemckmo.xn--p1ai/index.php/internet-priem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85C3-2C6D-4DE9-B3AB-13121C88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Юля</cp:lastModifiedBy>
  <cp:revision>2</cp:revision>
  <cp:lastPrinted>2019-08-20T11:46:00Z</cp:lastPrinted>
  <dcterms:created xsi:type="dcterms:W3CDTF">2019-09-12T12:10:00Z</dcterms:created>
  <dcterms:modified xsi:type="dcterms:W3CDTF">2019-09-12T12:10:00Z</dcterms:modified>
</cp:coreProperties>
</file>