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C7756B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C7756B">
              <w:rPr>
                <w:bCs/>
              </w:rPr>
              <w:t>22.03.2021г.</w:t>
            </w:r>
            <w:bookmarkStart w:id="0" w:name="_GoBack"/>
            <w:bookmarkEnd w:id="0"/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C7756B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C7756B">
              <w:rPr>
                <w:bCs/>
              </w:rPr>
              <w:t>260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от</w:t>
      </w:r>
      <w:proofErr w:type="gramStart"/>
      <w:r>
        <w:rPr>
          <w:sz w:val="24"/>
          <w:szCs w:val="24"/>
        </w:rPr>
        <w:t xml:space="preserve"> </w:t>
      </w:r>
      <w:r w:rsidR="00D3003A">
        <w:rPr>
          <w:sz w:val="24"/>
          <w:szCs w:val="24"/>
        </w:rPr>
        <w:t>………….</w:t>
      </w:r>
      <w:r>
        <w:rPr>
          <w:sz w:val="24"/>
          <w:szCs w:val="24"/>
        </w:rPr>
        <w:t>.....№…</w:t>
      </w:r>
      <w:r w:rsidR="00D3003A">
        <w:rPr>
          <w:sz w:val="24"/>
          <w:szCs w:val="24"/>
        </w:rPr>
        <w:t>….</w:t>
      </w:r>
      <w:r>
        <w:rPr>
          <w:sz w:val="24"/>
          <w:szCs w:val="24"/>
        </w:rPr>
        <w:t>….….</w:t>
      </w:r>
      <w:proofErr w:type="gramEnd"/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5C0743">
              <w:rPr>
                <w:sz w:val="26"/>
                <w:szCs w:val="26"/>
              </w:rPr>
              <w:t>443 485 734,81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5C0743">
              <w:rPr>
                <w:sz w:val="26"/>
                <w:szCs w:val="26"/>
              </w:rPr>
              <w:t>350 888 163,63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2019 год </w:t>
            </w:r>
            <w:r>
              <w:rPr>
                <w:sz w:val="24"/>
                <w:szCs w:val="24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EB5F6C">
              <w:rPr>
                <w:sz w:val="24"/>
                <w:szCs w:val="24"/>
              </w:rPr>
              <w:t xml:space="preserve">– </w:t>
            </w:r>
            <w:r w:rsidR="00BE0126">
              <w:rPr>
                <w:sz w:val="24"/>
                <w:szCs w:val="24"/>
              </w:rPr>
              <w:t>124 008 538,91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5C0743" w:rsidRPr="005C0743">
              <w:rPr>
                <w:b/>
                <w:sz w:val="24"/>
                <w:szCs w:val="24"/>
              </w:rPr>
              <w:t xml:space="preserve">  </w:t>
            </w:r>
            <w:r w:rsidR="005C0743" w:rsidRPr="005C0743">
              <w:rPr>
                <w:sz w:val="24"/>
                <w:szCs w:val="24"/>
              </w:rPr>
              <w:t>38 012 800,00</w:t>
            </w:r>
            <w:r w:rsidRPr="005C074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  <w:r w:rsidR="005D3D59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5C0743">
              <w:rPr>
                <w:sz w:val="24"/>
                <w:szCs w:val="24"/>
              </w:rPr>
              <w:t xml:space="preserve"> 70 498 920,26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6 679 188,58 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2020 год</w:t>
            </w:r>
            <w:r>
              <w:rPr>
                <w:sz w:val="24"/>
                <w:szCs w:val="24"/>
              </w:rPr>
              <w:t xml:space="preserve"> – </w:t>
            </w:r>
            <w:r w:rsidR="00BE0126">
              <w:rPr>
                <w:sz w:val="24"/>
                <w:szCs w:val="24"/>
              </w:rPr>
              <w:t>8 743 431,68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21 264 800,00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5C0743">
              <w:rPr>
                <w:sz w:val="24"/>
                <w:szCs w:val="24"/>
              </w:rPr>
              <w:t>16 691 000,00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17 120 500,00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6A58CF">
              <w:rPr>
                <w:sz w:val="24"/>
                <w:szCs w:val="24"/>
              </w:rPr>
              <w:t>22 098 650,92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5 766 853,36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2 939 097,56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6A58CF">
              <w:rPr>
                <w:sz w:val="24"/>
                <w:szCs w:val="24"/>
              </w:rPr>
              <w:t>5 245 300,00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2743">
              <w:rPr>
                <w:rFonts w:ascii="Times New Roman" w:hAnsi="Times New Roman" w:cs="Times New Roman"/>
                <w:sz w:val="24"/>
                <w:szCs w:val="24"/>
              </w:rPr>
              <w:t>3 915 200,00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D12743">
              <w:rPr>
                <w:sz w:val="24"/>
                <w:szCs w:val="24"/>
              </w:rPr>
              <w:t>4 232 200,00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58 246 866,66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135 691 068,15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4950B2">
              <w:rPr>
                <w:sz w:val="24"/>
                <w:szCs w:val="24"/>
              </w:rPr>
              <w:t>64 522 900,00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0B2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3C7976">
              <w:rPr>
                <w:sz w:val="24"/>
                <w:szCs w:val="24"/>
              </w:rPr>
              <w:t xml:space="preserve"> </w:t>
            </w:r>
            <w:r w:rsidR="004950B2">
              <w:rPr>
                <w:sz w:val="24"/>
                <w:szCs w:val="24"/>
              </w:rPr>
              <w:t>164 418 700,00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составляет 446,3 тыс. квадратных метров. После 01 января 2012 года 34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ook w:val="04A0" w:firstRow="1" w:lastRow="0" w:firstColumn="1" w:lastColumn="0" w:noHBand="0" w:noVBand="1"/>
      </w:tblPr>
      <w:tblGrid>
        <w:gridCol w:w="586"/>
        <w:gridCol w:w="1097"/>
        <w:gridCol w:w="1087"/>
        <w:gridCol w:w="924"/>
        <w:gridCol w:w="979"/>
        <w:gridCol w:w="199"/>
        <w:gridCol w:w="926"/>
        <w:gridCol w:w="159"/>
        <w:gridCol w:w="930"/>
        <w:gridCol w:w="1049"/>
        <w:gridCol w:w="1128"/>
        <w:gridCol w:w="507"/>
      </w:tblGrid>
      <w:tr w:rsidR="00150584">
        <w:trPr>
          <w:trHeight w:val="1265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150584">
        <w:trPr>
          <w:trHeight w:val="435"/>
          <w:tblHeader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50584">
        <w:trPr>
          <w:trHeight w:val="1544"/>
          <w:tblHeader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both"/>
            </w:pPr>
            <w:r>
              <w:rPr>
                <w:sz w:val="22"/>
                <w:szCs w:val="22"/>
              </w:rPr>
              <w:t>58246866,66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E029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135691068,15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3907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64323,100,00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505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20606200,00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505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164418700,00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>
        <w:trPr>
          <w:trHeight w:val="44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>
        <w:trPr>
          <w:trHeight w:val="9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150584">
        <w:trPr>
          <w:trHeight w:val="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13,  расположенного по адресу: г. Струнино, ул. Фрунзе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46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199 800,00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>
        <w:trPr>
          <w:trHeight w:val="2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150584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50584">
              <w:rPr>
                <w:b/>
                <w:sz w:val="24"/>
                <w:szCs w:val="24"/>
              </w:rPr>
              <w:t>443 485 734,81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B10E7" w:rsidRDefault="005B10E7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lastRenderedPageBreak/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042"/>
        <w:gridCol w:w="1110"/>
        <w:gridCol w:w="972"/>
        <w:gridCol w:w="846"/>
        <w:gridCol w:w="846"/>
        <w:gridCol w:w="845"/>
        <w:gridCol w:w="831"/>
        <w:gridCol w:w="830"/>
        <w:gridCol w:w="844"/>
      </w:tblGrid>
      <w:tr w:rsidR="00007352">
        <w:trPr>
          <w:trHeight w:val="60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BB01A1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BB01A1">
        <w:trPr>
          <w:trHeight w:val="2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BB01A1" w:rsidRPr="00D3534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pStyle w:val="ConsPlusNormal"/>
              <w:widowControl/>
              <w:ind w:firstLine="0"/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007352" w:rsidRPr="00555B9E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52" w:rsidRPr="00555B9E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1661,71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1606,51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2158,48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4289,1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01A1" w:rsidRPr="00D3534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B01A1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BB01A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555B9E" w:rsidRDefault="00D35346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371"/>
        <w:gridCol w:w="1481"/>
        <w:gridCol w:w="1596"/>
        <w:gridCol w:w="1056"/>
        <w:gridCol w:w="656"/>
        <w:gridCol w:w="656"/>
        <w:gridCol w:w="122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7352" w:rsidTr="00667D01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007352" w:rsidRDefault="0000735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45800824,72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124008538,91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38012800,00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D25C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143066000,0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FD25C1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350888163,63</w:t>
            </w: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6679188,58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8743431,68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21264800,00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17120500,00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996E03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70498920,26</w:t>
            </w:r>
          </w:p>
        </w:tc>
      </w:tr>
      <w:tr w:rsidR="00007352" w:rsidRPr="00667D01" w:rsidTr="00667D01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</w:pPr>
            <w:r>
              <w:rPr>
                <w:rStyle w:val="21"/>
                <w:sz w:val="24"/>
                <w:szCs w:val="24"/>
              </w:rPr>
              <w:t>5766853,36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2939097,56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5245300,00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96E0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4232200,00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996E03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22098650,92</w:t>
            </w:r>
          </w:p>
        </w:tc>
      </w:tr>
      <w:tr w:rsidR="00007352" w:rsidTr="00667D01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D61939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A72ADD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72ADD">
              <w:rPr>
                <w:sz w:val="22"/>
                <w:szCs w:val="22"/>
              </w:rPr>
              <w:t>58246866,66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135691068,15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8059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64522900,00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AE" w:rsidRDefault="0058059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20606200,00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8059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164418700,00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561564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443485734,81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>364 168 100,34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70125A">
              <w:rPr>
                <w:sz w:val="26"/>
                <w:szCs w:val="26"/>
              </w:rPr>
              <w:t>350 888 163,63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 xml:space="preserve">– </w:t>
            </w:r>
            <w:r w:rsidR="00AB5360">
              <w:rPr>
                <w:sz w:val="26"/>
                <w:szCs w:val="26"/>
              </w:rPr>
              <w:t>124 008 538,91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>38 012 800,00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5 370 723,00</w:t>
            </w:r>
            <w:r>
              <w:rPr>
                <w:sz w:val="26"/>
                <w:szCs w:val="26"/>
              </w:rPr>
              <w:t xml:space="preserve">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701 033,03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B5360">
              <w:rPr>
                <w:sz w:val="26"/>
                <w:szCs w:val="26"/>
              </w:rPr>
              <w:t>1 898 089,97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581 800,00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3548F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C107E9">
              <w:rPr>
                <w:sz w:val="26"/>
                <w:szCs w:val="26"/>
              </w:rPr>
              <w:t>7 909 213,71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5 452 213,59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1 333 400,12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393 700,00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pStyle w:val="ConsPlusNormal"/>
              <w:widowControl/>
              <w:ind w:firstLine="0"/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51 954 071,34 руб.;  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38 988 300,00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5B10E7" w:rsidRDefault="005B10E7">
      <w:pPr>
        <w:jc w:val="center"/>
      </w:pPr>
    </w:p>
    <w:p w:rsidR="00007352" w:rsidRDefault="000872A5">
      <w:pPr>
        <w:jc w:val="center"/>
      </w:pPr>
      <w:r>
        <w:lastRenderedPageBreak/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468"/>
        <w:gridCol w:w="518"/>
        <w:gridCol w:w="191"/>
        <w:gridCol w:w="828"/>
        <w:gridCol w:w="22"/>
        <w:gridCol w:w="851"/>
        <w:gridCol w:w="7"/>
        <w:gridCol w:w="843"/>
        <w:gridCol w:w="284"/>
        <w:gridCol w:w="425"/>
        <w:gridCol w:w="190"/>
        <w:gridCol w:w="626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4B2CA5" w:rsidTr="00221050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B2CA5" w:rsidTr="00221050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51954071,34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1B03EB" w:rsidP="001B03E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127240029,00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1B03EB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38988300,00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1B03EB" w:rsidP="001B03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1B03E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145985700,0</w:t>
            </w:r>
            <w:r w:rsidR="004B2CA5">
              <w:rPr>
                <w:sz w:val="22"/>
                <w:szCs w:val="22"/>
              </w:rPr>
              <w:t>0</w:t>
            </w:r>
          </w:p>
          <w:p w:rsidR="004B2CA5" w:rsidRDefault="004B2CA5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rPr>
                <w:sz w:val="22"/>
                <w:szCs w:val="22"/>
              </w:rPr>
            </w:pPr>
          </w:p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05715" w:rsidTr="004B2CA5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 w:rsidR="001B03EB">
              <w:rPr>
                <w:sz w:val="24"/>
                <w:szCs w:val="24"/>
              </w:rPr>
              <w:t>:</w:t>
            </w:r>
            <w:r w:rsidR="006115AA">
              <w:rPr>
                <w:sz w:val="24"/>
                <w:szCs w:val="24"/>
              </w:rPr>
              <w:t xml:space="preserve"> </w:t>
            </w:r>
            <w:r w:rsidR="006115AA" w:rsidRPr="00946160">
              <w:rPr>
                <w:sz w:val="22"/>
                <w:szCs w:val="22"/>
              </w:rPr>
              <w:t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13,  расположенного по адресу: г. Струнино, ул. Фрунзе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1B03EB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B03EB">
              <w:rPr>
                <w:sz w:val="24"/>
                <w:szCs w:val="24"/>
              </w:rPr>
              <w:t>199800,00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5943C3">
              <w:rPr>
                <w:b/>
                <w:sz w:val="24"/>
                <w:szCs w:val="24"/>
              </w:rPr>
              <w:t>364 168 100,34</w:t>
            </w:r>
          </w:p>
          <w:p w:rsidR="00007352" w:rsidRDefault="000872A5" w:rsidP="004B2C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51 954 071,34 руб.;  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38 988 300,00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913D91">
              <w:rPr>
                <w:sz w:val="24"/>
                <w:szCs w:val="24"/>
              </w:rPr>
              <w:t xml:space="preserve"> – 0 руб.;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895"/>
        <w:gridCol w:w="960"/>
        <w:gridCol w:w="904"/>
        <w:gridCol w:w="960"/>
        <w:gridCol w:w="853"/>
        <w:gridCol w:w="958"/>
        <w:gridCol w:w="821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F82955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F82955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1449,41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3674,66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295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8295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266"/>
        <w:gridCol w:w="1266"/>
        <w:gridCol w:w="1266"/>
        <w:gridCol w:w="1266"/>
        <w:gridCol w:w="773"/>
        <w:gridCol w:w="696"/>
        <w:gridCol w:w="696"/>
        <w:gridCol w:w="811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07352" w:rsidTr="00EA23E0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45800824,72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124008538,91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38012800,00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143066000,0</w:t>
            </w:r>
            <w:r w:rsidR="000872A5"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350888163,63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</w:pPr>
            <w:r w:rsidRPr="00FF3EE5">
              <w:rPr>
                <w:rStyle w:val="21"/>
                <w:sz w:val="20"/>
                <w:szCs w:val="20"/>
              </w:rPr>
              <w:t>5452213,59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1333400,12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393700,00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729900,00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7909213,71</w:t>
            </w:r>
          </w:p>
        </w:tc>
      </w:tr>
      <w:tr w:rsidR="00007352" w:rsidTr="00EA23E0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701033,03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0A17E9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1898089,97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581800,00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2189800,00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5370723,00</w:t>
            </w:r>
          </w:p>
        </w:tc>
      </w:tr>
      <w:tr w:rsidR="00007352" w:rsidTr="00EA23E0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both"/>
            </w:pPr>
            <w:r w:rsidRPr="00FF3EE5">
              <w:rPr>
                <w:rStyle w:val="21"/>
                <w:sz w:val="20"/>
                <w:szCs w:val="20"/>
              </w:rPr>
              <w:t>51954071,34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1305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127240029</w:t>
            </w:r>
            <w:r w:rsidR="001305DD">
              <w:rPr>
                <w:rStyle w:val="21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38988300,00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1305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145985700,00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1305DD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364168100,34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841 от </w:t>
            </w:r>
            <w:r>
              <w:rPr>
                <w:sz w:val="22"/>
                <w:szCs w:val="22"/>
                <w:lang w:eastAsia="en-US"/>
              </w:rPr>
              <w:lastRenderedPageBreak/>
              <w:t>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73011F">
              <w:rPr>
                <w:sz w:val="26"/>
                <w:szCs w:val="26"/>
              </w:rPr>
              <w:t>79 317 634,47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D83409">
              <w:rPr>
                <w:sz w:val="26"/>
                <w:szCs w:val="26"/>
              </w:rPr>
              <w:t>65 128 197,26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5 978 155,55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0252E">
              <w:rPr>
                <w:sz w:val="26"/>
                <w:szCs w:val="26"/>
              </w:rPr>
              <w:t xml:space="preserve"> 6 845 341,71р</w:t>
            </w:r>
            <w:r>
              <w:rPr>
                <w:sz w:val="26"/>
                <w:szCs w:val="26"/>
              </w:rPr>
              <w:t>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16 691 000,00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14 930 700,00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D83409">
              <w:rPr>
                <w:sz w:val="26"/>
                <w:szCs w:val="26"/>
              </w:rPr>
              <w:t>14 189 437,21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314 639,77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1 605 697,44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3 915 200,00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3 502 300,00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007352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6 292 795,32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8 451 039,15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D83409">
              <w:rPr>
                <w:rFonts w:ascii="Times New Roman" w:hAnsi="Times New Roman" w:cs="Times New Roman"/>
                <w:sz w:val="26"/>
                <w:szCs w:val="26"/>
              </w:rPr>
              <w:t>20 606 200,00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18 433 000,00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  <w:r w:rsidR="0022521E">
              <w:rPr>
                <w:sz w:val="26"/>
                <w:szCs w:val="26"/>
              </w:rPr>
              <w:t>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год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7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547"/>
        <w:gridCol w:w="1158"/>
        <w:gridCol w:w="381"/>
        <w:gridCol w:w="710"/>
        <w:gridCol w:w="347"/>
        <w:gridCol w:w="365"/>
        <w:gridCol w:w="709"/>
        <w:gridCol w:w="206"/>
        <w:gridCol w:w="503"/>
        <w:gridCol w:w="709"/>
        <w:gridCol w:w="196"/>
        <w:gridCol w:w="512"/>
        <w:gridCol w:w="259"/>
        <w:gridCol w:w="592"/>
        <w:gridCol w:w="27"/>
        <w:gridCol w:w="645"/>
        <w:gridCol w:w="36"/>
      </w:tblGrid>
      <w:tr w:rsidR="00007352" w:rsidTr="008C5352">
        <w:trPr>
          <w:gridAfter w:val="1"/>
          <w:wAfter w:w="36" w:type="dxa"/>
          <w:trHeight w:val="990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26A5C" w:rsidTr="008C5352">
        <w:trPr>
          <w:trHeight w:val="435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C5352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26A5C" w:rsidTr="008C5352">
        <w:trPr>
          <w:trHeight w:val="963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6292795,32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664D33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8451039,15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25534600,00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20606200,00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87693D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18433000,00</w:t>
            </w:r>
          </w:p>
          <w:p w:rsidR="00B26A5C" w:rsidRDefault="00B26A5C" w:rsidP="00B26A5C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352" w:rsidRDefault="008C5352" w:rsidP="00B26A5C">
            <w:pPr>
              <w:rPr>
                <w:sz w:val="22"/>
                <w:szCs w:val="22"/>
              </w:rPr>
            </w:pPr>
          </w:p>
          <w:p w:rsidR="00B26A5C" w:rsidRDefault="008C5352" w:rsidP="00B2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352" w:rsidTr="008C5352">
        <w:trPr>
          <w:gridAfter w:val="1"/>
          <w:wAfter w:w="36" w:type="dxa"/>
          <w:trHeight w:val="9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8C5352">
        <w:trPr>
          <w:gridAfter w:val="1"/>
          <w:wAfter w:w="36" w:type="dxa"/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8C5352">
        <w:trPr>
          <w:gridAfter w:val="1"/>
          <w:wAfter w:w="36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73011F">
              <w:rPr>
                <w:b/>
                <w:sz w:val="24"/>
                <w:szCs w:val="24"/>
              </w:rPr>
              <w:t>79 317 634,47</w:t>
            </w:r>
          </w:p>
          <w:p w:rsidR="00007352" w:rsidRDefault="00CA56C8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872A5">
              <w:rPr>
                <w:b/>
                <w:sz w:val="24"/>
                <w:szCs w:val="24"/>
                <w:u w:val="single"/>
              </w:rPr>
              <w:t>2019 год</w:t>
            </w:r>
            <w:r w:rsidR="000872A5">
              <w:rPr>
                <w:sz w:val="24"/>
                <w:szCs w:val="24"/>
              </w:rPr>
              <w:t xml:space="preserve"> – 6 292 795,32 руб.;  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D33">
              <w:rPr>
                <w:rFonts w:ascii="Times New Roman" w:hAnsi="Times New Roman" w:cs="Times New Roman"/>
                <w:sz w:val="24"/>
                <w:szCs w:val="24"/>
              </w:rPr>
              <w:t>8 451 039,15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7693D">
              <w:rPr>
                <w:rFonts w:ascii="Times New Roman" w:hAnsi="Times New Roman" w:cs="Times New Roman"/>
                <w:sz w:val="24"/>
                <w:szCs w:val="24"/>
              </w:rPr>
              <w:t>20 606 200,00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18 433 000,00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835"/>
        <w:gridCol w:w="1021"/>
        <w:gridCol w:w="895"/>
        <w:gridCol w:w="908"/>
        <w:gridCol w:w="833"/>
        <w:gridCol w:w="939"/>
        <w:gridCol w:w="940"/>
        <w:gridCol w:w="937"/>
        <w:gridCol w:w="857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5B10E7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5B10E7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686,87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614,44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B10E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B10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476"/>
        <w:gridCol w:w="1476"/>
        <w:gridCol w:w="696"/>
        <w:gridCol w:w="696"/>
        <w:gridCol w:w="900"/>
        <w:gridCol w:w="9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1173A" w:rsidTr="0025779A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314639,77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1605697,44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4851600,00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3915200,00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3502300,00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14189437,21</w:t>
            </w:r>
          </w:p>
        </w:tc>
      </w:tr>
      <w:tr w:rsidR="0001173A" w:rsidTr="0025779A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5978155,55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6845341,71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20683000,00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16691000,00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14930700,00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65128197,26</w:t>
            </w:r>
          </w:p>
        </w:tc>
      </w:tr>
      <w:tr w:rsidR="0001173A" w:rsidTr="0025779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6292795,32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8451039,15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25534600,00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20606200,00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D700C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18433000,00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3011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79317634,47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lastRenderedPageBreak/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5B10E7">
      <w:headerReference w:type="default" r:id="rId10"/>
      <w:pgSz w:w="11906" w:h="16838"/>
      <w:pgMar w:top="0" w:right="850" w:bottom="1134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FB" w:rsidRDefault="00355FFB" w:rsidP="00007352">
      <w:r>
        <w:separator/>
      </w:r>
    </w:p>
  </w:endnote>
  <w:endnote w:type="continuationSeparator" w:id="0">
    <w:p w:rsidR="00355FFB" w:rsidRDefault="00355FFB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FB" w:rsidRDefault="00355FFB" w:rsidP="00007352">
      <w:r>
        <w:separator/>
      </w:r>
    </w:p>
  </w:footnote>
  <w:footnote w:type="continuationSeparator" w:id="0">
    <w:p w:rsidR="00355FFB" w:rsidRDefault="00355FFB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6" w:rsidRDefault="00D35346">
    <w:pPr>
      <w:pStyle w:val="13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73A"/>
    <w:rsid w:val="00022D71"/>
    <w:rsid w:val="000338AA"/>
    <w:rsid w:val="000375F0"/>
    <w:rsid w:val="00056D6C"/>
    <w:rsid w:val="00072209"/>
    <w:rsid w:val="000872A5"/>
    <w:rsid w:val="000A17E9"/>
    <w:rsid w:val="000B15A1"/>
    <w:rsid w:val="000B708A"/>
    <w:rsid w:val="000C6EF0"/>
    <w:rsid w:val="000C7F1F"/>
    <w:rsid w:val="000D65C9"/>
    <w:rsid w:val="000F13FE"/>
    <w:rsid w:val="00123AB1"/>
    <w:rsid w:val="001305DD"/>
    <w:rsid w:val="00133C11"/>
    <w:rsid w:val="00143991"/>
    <w:rsid w:val="00150584"/>
    <w:rsid w:val="00155289"/>
    <w:rsid w:val="00166F8B"/>
    <w:rsid w:val="0017336C"/>
    <w:rsid w:val="00195247"/>
    <w:rsid w:val="001A6B91"/>
    <w:rsid w:val="001B012F"/>
    <w:rsid w:val="001B03EB"/>
    <w:rsid w:val="001F217F"/>
    <w:rsid w:val="00214854"/>
    <w:rsid w:val="00221050"/>
    <w:rsid w:val="0022521E"/>
    <w:rsid w:val="002277E1"/>
    <w:rsid w:val="00234F73"/>
    <w:rsid w:val="00255655"/>
    <w:rsid w:val="00256114"/>
    <w:rsid w:val="0025779A"/>
    <w:rsid w:val="00257A36"/>
    <w:rsid w:val="0026139E"/>
    <w:rsid w:val="002712E8"/>
    <w:rsid w:val="0028647B"/>
    <w:rsid w:val="00287AC6"/>
    <w:rsid w:val="002C2013"/>
    <w:rsid w:val="002C2A0E"/>
    <w:rsid w:val="002E0291"/>
    <w:rsid w:val="002F2460"/>
    <w:rsid w:val="00321802"/>
    <w:rsid w:val="003458C8"/>
    <w:rsid w:val="00347FF5"/>
    <w:rsid w:val="00351856"/>
    <w:rsid w:val="00355FFB"/>
    <w:rsid w:val="00364C69"/>
    <w:rsid w:val="0039079E"/>
    <w:rsid w:val="00392106"/>
    <w:rsid w:val="003B03E9"/>
    <w:rsid w:val="003B3FA1"/>
    <w:rsid w:val="003C77EA"/>
    <w:rsid w:val="003C7976"/>
    <w:rsid w:val="00416FFD"/>
    <w:rsid w:val="00426781"/>
    <w:rsid w:val="0045488E"/>
    <w:rsid w:val="00463BD5"/>
    <w:rsid w:val="00470165"/>
    <w:rsid w:val="0047575D"/>
    <w:rsid w:val="004950B2"/>
    <w:rsid w:val="004B2CA5"/>
    <w:rsid w:val="00505715"/>
    <w:rsid w:val="00513BF2"/>
    <w:rsid w:val="00531EA4"/>
    <w:rsid w:val="00555861"/>
    <w:rsid w:val="00555B9E"/>
    <w:rsid w:val="00557A04"/>
    <w:rsid w:val="00561564"/>
    <w:rsid w:val="00564EF8"/>
    <w:rsid w:val="0057041A"/>
    <w:rsid w:val="0058059D"/>
    <w:rsid w:val="005820BE"/>
    <w:rsid w:val="005943C3"/>
    <w:rsid w:val="005974FE"/>
    <w:rsid w:val="005A1BAE"/>
    <w:rsid w:val="005B10E7"/>
    <w:rsid w:val="005C0743"/>
    <w:rsid w:val="005D0990"/>
    <w:rsid w:val="005D18BB"/>
    <w:rsid w:val="005D1A01"/>
    <w:rsid w:val="005D3D59"/>
    <w:rsid w:val="005E22C3"/>
    <w:rsid w:val="006115AA"/>
    <w:rsid w:val="00637670"/>
    <w:rsid w:val="00664D33"/>
    <w:rsid w:val="00664F95"/>
    <w:rsid w:val="00667D01"/>
    <w:rsid w:val="006A2441"/>
    <w:rsid w:val="006A3994"/>
    <w:rsid w:val="006A58CF"/>
    <w:rsid w:val="006D5D98"/>
    <w:rsid w:val="0070125A"/>
    <w:rsid w:val="007075B0"/>
    <w:rsid w:val="0073011F"/>
    <w:rsid w:val="00757B6D"/>
    <w:rsid w:val="007907DA"/>
    <w:rsid w:val="007A61F0"/>
    <w:rsid w:val="007B37B4"/>
    <w:rsid w:val="007D0B81"/>
    <w:rsid w:val="00805B88"/>
    <w:rsid w:val="008151FB"/>
    <w:rsid w:val="0083548F"/>
    <w:rsid w:val="0086033D"/>
    <w:rsid w:val="0087693D"/>
    <w:rsid w:val="00876F57"/>
    <w:rsid w:val="0088162F"/>
    <w:rsid w:val="00885734"/>
    <w:rsid w:val="008B46F3"/>
    <w:rsid w:val="008C5352"/>
    <w:rsid w:val="00913D91"/>
    <w:rsid w:val="00915E7E"/>
    <w:rsid w:val="00924593"/>
    <w:rsid w:val="00933FD4"/>
    <w:rsid w:val="00944145"/>
    <w:rsid w:val="0094611C"/>
    <w:rsid w:val="00946160"/>
    <w:rsid w:val="00951F21"/>
    <w:rsid w:val="0095662D"/>
    <w:rsid w:val="00996E03"/>
    <w:rsid w:val="00997AC6"/>
    <w:rsid w:val="009A0460"/>
    <w:rsid w:val="009A193B"/>
    <w:rsid w:val="009A79B4"/>
    <w:rsid w:val="009B6A2D"/>
    <w:rsid w:val="009D291D"/>
    <w:rsid w:val="009D6FEE"/>
    <w:rsid w:val="009E66AA"/>
    <w:rsid w:val="009F20E0"/>
    <w:rsid w:val="00A0252E"/>
    <w:rsid w:val="00A02A37"/>
    <w:rsid w:val="00A03F1C"/>
    <w:rsid w:val="00A219B7"/>
    <w:rsid w:val="00A22012"/>
    <w:rsid w:val="00A25B7F"/>
    <w:rsid w:val="00A27930"/>
    <w:rsid w:val="00A57214"/>
    <w:rsid w:val="00A72ADD"/>
    <w:rsid w:val="00A87026"/>
    <w:rsid w:val="00AA26D6"/>
    <w:rsid w:val="00AA49A5"/>
    <w:rsid w:val="00AB5360"/>
    <w:rsid w:val="00AB5D41"/>
    <w:rsid w:val="00AB64F4"/>
    <w:rsid w:val="00AF60B5"/>
    <w:rsid w:val="00B011CC"/>
    <w:rsid w:val="00B26A5C"/>
    <w:rsid w:val="00B37883"/>
    <w:rsid w:val="00B74416"/>
    <w:rsid w:val="00B90FEE"/>
    <w:rsid w:val="00B93A42"/>
    <w:rsid w:val="00BB01A1"/>
    <w:rsid w:val="00BE0126"/>
    <w:rsid w:val="00BF35CA"/>
    <w:rsid w:val="00C107E9"/>
    <w:rsid w:val="00C754B3"/>
    <w:rsid w:val="00C76B73"/>
    <w:rsid w:val="00C7756B"/>
    <w:rsid w:val="00C77785"/>
    <w:rsid w:val="00CA56C8"/>
    <w:rsid w:val="00CC65BD"/>
    <w:rsid w:val="00D116CE"/>
    <w:rsid w:val="00D12743"/>
    <w:rsid w:val="00D158B2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C0D43"/>
    <w:rsid w:val="00DD2D89"/>
    <w:rsid w:val="00DF21A6"/>
    <w:rsid w:val="00DF68A9"/>
    <w:rsid w:val="00E3756E"/>
    <w:rsid w:val="00E451BB"/>
    <w:rsid w:val="00E46128"/>
    <w:rsid w:val="00E51E78"/>
    <w:rsid w:val="00E65B1D"/>
    <w:rsid w:val="00E83D37"/>
    <w:rsid w:val="00EA1A7D"/>
    <w:rsid w:val="00EA23E0"/>
    <w:rsid w:val="00EB5F6C"/>
    <w:rsid w:val="00F15820"/>
    <w:rsid w:val="00F1591B"/>
    <w:rsid w:val="00F25775"/>
    <w:rsid w:val="00F43BDE"/>
    <w:rsid w:val="00F725CC"/>
    <w:rsid w:val="00F82955"/>
    <w:rsid w:val="00FA0567"/>
    <w:rsid w:val="00FD25C1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33</cp:revision>
  <cp:lastPrinted>2021-03-23T07:28:00Z</cp:lastPrinted>
  <dcterms:created xsi:type="dcterms:W3CDTF">2021-02-20T09:24:00Z</dcterms:created>
  <dcterms:modified xsi:type="dcterms:W3CDTF">2021-03-23T07:28:00Z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