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011329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011329">
              <w:rPr>
                <w:bCs/>
              </w:rPr>
              <w:t>………………….</w:t>
            </w:r>
            <w:r w:rsidR="00C7756B">
              <w:rPr>
                <w:bCs/>
              </w:rPr>
              <w:t>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011329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011329">
              <w:rPr>
                <w:bCs/>
              </w:rPr>
              <w:t>……….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8A667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от </w:t>
      </w:r>
      <w:r w:rsidR="008A6679">
        <w:rPr>
          <w:sz w:val="24"/>
          <w:szCs w:val="24"/>
        </w:rPr>
        <w:t xml:space="preserve">             </w:t>
      </w:r>
      <w:r w:rsidR="00DB4C60">
        <w:rPr>
          <w:sz w:val="24"/>
          <w:szCs w:val="24"/>
        </w:rPr>
        <w:t xml:space="preserve">     № </w:t>
      </w:r>
      <w:r w:rsidR="008A6679">
        <w:rPr>
          <w:sz w:val="24"/>
          <w:szCs w:val="24"/>
        </w:rPr>
        <w:t xml:space="preserve"> 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C67575">
              <w:rPr>
                <w:sz w:val="26"/>
                <w:szCs w:val="26"/>
              </w:rPr>
              <w:t>329 451 230,82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C67575">
              <w:rPr>
                <w:sz w:val="26"/>
                <w:szCs w:val="26"/>
              </w:rPr>
              <w:t>259 305 671,22</w:t>
            </w:r>
            <w:r>
              <w:rPr>
                <w:sz w:val="26"/>
                <w:szCs w:val="26"/>
              </w:rPr>
              <w:t>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C67575">
              <w:rPr>
                <w:b/>
                <w:sz w:val="24"/>
                <w:szCs w:val="24"/>
              </w:rPr>
              <w:t xml:space="preserve"> </w:t>
            </w:r>
            <w:r w:rsidR="00C67575" w:rsidRPr="00C67575">
              <w:rPr>
                <w:sz w:val="24"/>
                <w:szCs w:val="24"/>
              </w:rPr>
              <w:t>116 239 671,22</w:t>
            </w:r>
            <w:r w:rsidR="00C67575">
              <w:rPr>
                <w:sz w:val="24"/>
                <w:szCs w:val="24"/>
              </w:rPr>
              <w:t xml:space="preserve"> </w:t>
            </w:r>
            <w:r w:rsidRPr="00C6757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5C0743">
              <w:rPr>
                <w:sz w:val="24"/>
                <w:szCs w:val="24"/>
              </w:rPr>
              <w:t xml:space="preserve"> </w:t>
            </w:r>
            <w:r w:rsidR="007710F0">
              <w:rPr>
                <w:sz w:val="24"/>
                <w:szCs w:val="24"/>
              </w:rPr>
              <w:t>56 273 700,09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7710F0">
              <w:rPr>
                <w:sz w:val="24"/>
                <w:szCs w:val="24"/>
              </w:rPr>
              <w:t xml:space="preserve">22 462 200,09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16 691 000,00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17 120 500,00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085538">
              <w:rPr>
                <w:sz w:val="24"/>
                <w:szCs w:val="24"/>
              </w:rPr>
              <w:t>13 871 859,51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>5 644 459,51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95 200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D12743">
              <w:rPr>
                <w:sz w:val="24"/>
                <w:szCs w:val="24"/>
              </w:rPr>
              <w:t>4 232 200,00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085538">
              <w:rPr>
                <w:sz w:val="24"/>
                <w:szCs w:val="24"/>
              </w:rPr>
              <w:t>144 346 330,82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686 200,00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085538">
              <w:rPr>
                <w:sz w:val="24"/>
                <w:szCs w:val="24"/>
              </w:rPr>
              <w:t xml:space="preserve"> </w:t>
            </w:r>
            <w:r w:rsidR="004950B2">
              <w:rPr>
                <w:sz w:val="24"/>
                <w:szCs w:val="24"/>
              </w:rPr>
              <w:t>164 418 700,00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 xml:space="preserve">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</w:t>
      </w:r>
      <w:r w:rsidRPr="00AF4453">
        <w:rPr>
          <w:rStyle w:val="21"/>
          <w:sz w:val="28"/>
          <w:szCs w:val="28"/>
        </w:rPr>
        <w:t>составляет 446,3 тыс.</w:t>
      </w:r>
      <w:r>
        <w:rPr>
          <w:rStyle w:val="21"/>
          <w:sz w:val="28"/>
          <w:szCs w:val="28"/>
        </w:rPr>
        <w:t xml:space="preserve"> квадратных метров. После 01 января 2012 года </w:t>
      </w:r>
      <w:r w:rsidR="00AF4453">
        <w:rPr>
          <w:rStyle w:val="21"/>
          <w:sz w:val="28"/>
          <w:szCs w:val="28"/>
        </w:rPr>
        <w:t>34</w:t>
      </w:r>
      <w:r>
        <w:rPr>
          <w:rStyle w:val="21"/>
          <w:sz w:val="28"/>
          <w:szCs w:val="28"/>
        </w:rPr>
        <w:t xml:space="preserve">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B03137" w:rsidRDefault="00B0313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924267" w:rsidP="0023260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429"/>
        <w:gridCol w:w="1416"/>
        <w:gridCol w:w="1191"/>
        <w:gridCol w:w="438"/>
        <w:gridCol w:w="413"/>
        <w:gridCol w:w="305"/>
        <w:gridCol w:w="200"/>
        <w:gridCol w:w="1076"/>
        <w:gridCol w:w="1417"/>
        <w:gridCol w:w="958"/>
      </w:tblGrid>
      <w:tr w:rsidR="00150584" w:rsidTr="006D712B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Tr="006D712B">
        <w:trPr>
          <w:trHeight w:val="435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03137" w:rsidP="001733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D712B">
              <w:rPr>
                <w:sz w:val="24"/>
                <w:szCs w:val="24"/>
              </w:rPr>
              <w:t>2024 годы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AD6F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144346330,82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20686200,00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164418700,00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DA5770" w:rsidTr="00AD6F7D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BE1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 w:rsidR="008169D2">
              <w:rPr>
                <w:sz w:val="22"/>
                <w:szCs w:val="22"/>
              </w:rPr>
              <w:t>32а</w:t>
            </w:r>
            <w:r w:rsidR="00946160"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 w:rsidR="008169D2">
              <w:rPr>
                <w:sz w:val="22"/>
                <w:szCs w:val="22"/>
              </w:rPr>
              <w:t>С</w:t>
            </w:r>
            <w:r w:rsidR="00BE1115">
              <w:rPr>
                <w:sz w:val="22"/>
                <w:szCs w:val="22"/>
              </w:rPr>
              <w:t>адовая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 w:rsidP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AD6F7D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D6F7D">
              <w:rPr>
                <w:b/>
                <w:sz w:val="24"/>
                <w:szCs w:val="24"/>
              </w:rPr>
              <w:t>329 451 230,82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B10E7" w:rsidRDefault="005B10E7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007352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6D712B" w:rsidTr="006D712B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pStyle w:val="ConsPlusNormal"/>
              <w:widowControl/>
              <w:ind w:firstLine="0"/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2158,48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4289,1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808"/>
        <w:gridCol w:w="1559"/>
        <w:gridCol w:w="1843"/>
        <w:gridCol w:w="1276"/>
        <w:gridCol w:w="155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712B" w:rsidTr="006D712B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DB6F0C" w:rsidP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116 239 671,22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143066000,0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DB6F0C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259305671,22</w:t>
            </w: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DB6F0C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22 462 200,09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17120500,00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DB6F0C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56273700,09</w:t>
            </w:r>
          </w:p>
        </w:tc>
      </w:tr>
      <w:tr w:rsidR="006D712B" w:rsidRPr="00667D01" w:rsidTr="006D712B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DB6F0C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5 644 459,51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3995200,00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4232200,00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DB6F0C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13871859,51</w:t>
            </w:r>
          </w:p>
        </w:tc>
      </w:tr>
      <w:tr w:rsidR="006D712B" w:rsidTr="006D712B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61939" w:rsidRDefault="006D712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DB6F0C" w:rsidP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144 346 330,82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F5577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</w:t>
            </w:r>
            <w:r w:rsidR="00F5577A">
              <w:rPr>
                <w:rStyle w:val="21"/>
                <w:sz w:val="22"/>
                <w:szCs w:val="22"/>
              </w:rPr>
              <w:t>686200,00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164418700,00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DB6F0C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329 451230,82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lastRenderedPageBreak/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A924C1">
              <w:rPr>
                <w:sz w:val="26"/>
                <w:szCs w:val="26"/>
              </w:rPr>
              <w:t>264 877 430,82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A924C1">
              <w:rPr>
                <w:sz w:val="26"/>
                <w:szCs w:val="26"/>
              </w:rPr>
              <w:t>259 305 671,22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A924C1">
              <w:rPr>
                <w:sz w:val="26"/>
                <w:szCs w:val="26"/>
              </w:rPr>
              <w:t>116 239 671,22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</w:t>
            </w:r>
            <w:r w:rsidR="00A924C1">
              <w:rPr>
                <w:sz w:val="26"/>
                <w:szCs w:val="26"/>
              </w:rPr>
              <w:t>3 969 000,09 р</w:t>
            </w:r>
            <w:r>
              <w:rPr>
                <w:sz w:val="26"/>
                <w:szCs w:val="26"/>
              </w:rPr>
              <w:t xml:space="preserve">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A924C1">
              <w:rPr>
                <w:sz w:val="26"/>
                <w:szCs w:val="26"/>
              </w:rPr>
              <w:t>1 779 200,09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A924C1">
              <w:rPr>
                <w:sz w:val="26"/>
                <w:szCs w:val="26"/>
              </w:rPr>
              <w:t>1 602 759,51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A924C1">
              <w:rPr>
                <w:sz w:val="26"/>
                <w:szCs w:val="26"/>
              </w:rPr>
              <w:t>792 859,51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A924C1">
              <w:rPr>
                <w:sz w:val="26"/>
                <w:szCs w:val="26"/>
              </w:rPr>
              <w:t>118 811 730,82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5B10E7" w:rsidRDefault="005B10E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>этап – 2021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2024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1319"/>
        <w:gridCol w:w="1134"/>
        <w:gridCol w:w="1275"/>
        <w:gridCol w:w="1525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Tr="006D712B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 годы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Default="003940D9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118811730,82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1B03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145985700,00</w:t>
            </w:r>
          </w:p>
          <w:p w:rsidR="006D712B" w:rsidRDefault="006D712B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3940D9" w:rsidTr="003940D9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FD14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>
              <w:rPr>
                <w:sz w:val="24"/>
                <w:szCs w:val="24"/>
              </w:rPr>
              <w:t xml:space="preserve">: </w:t>
            </w:r>
            <w:r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>
              <w:rPr>
                <w:sz w:val="22"/>
                <w:szCs w:val="22"/>
              </w:rPr>
              <w:t>32а</w:t>
            </w:r>
            <w:r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4CD">
              <w:rPr>
                <w:sz w:val="24"/>
                <w:szCs w:val="24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E02FE7">
              <w:rPr>
                <w:b/>
                <w:sz w:val="24"/>
                <w:szCs w:val="24"/>
              </w:rPr>
              <w:t>264 877 430,82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E02FE7">
              <w:rPr>
                <w:sz w:val="24"/>
                <w:szCs w:val="24"/>
              </w:rPr>
              <w:t>118 811 730,82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6D712B">
              <w:rPr>
                <w:sz w:val="24"/>
                <w:szCs w:val="24"/>
              </w:rPr>
              <w:t xml:space="preserve"> – 0 руб.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214002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3674,66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726"/>
        <w:gridCol w:w="1418"/>
        <w:gridCol w:w="1842"/>
        <w:gridCol w:w="1134"/>
        <w:gridCol w:w="1920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Tr="00214002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116 239 671,22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143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066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000,0</w:t>
            </w: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9801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259 305 671,22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792 859,51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729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9801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1 602 759,51</w:t>
            </w:r>
          </w:p>
        </w:tc>
      </w:tr>
      <w:tr w:rsidR="00214002" w:rsidTr="00214002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1 779 200,09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189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98017E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3 969 000,09</w:t>
            </w:r>
          </w:p>
        </w:tc>
      </w:tr>
      <w:tr w:rsidR="00214002" w:rsidTr="00214002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118 811 730,82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145985700,00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98017E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264 877 430,82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276 от </w:t>
            </w:r>
            <w:r>
              <w:rPr>
                <w:sz w:val="22"/>
                <w:szCs w:val="22"/>
                <w:lang w:eastAsia="en-US"/>
              </w:rPr>
              <w:lastRenderedPageBreak/>
              <w:t>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45203">
              <w:rPr>
                <w:sz w:val="26"/>
                <w:szCs w:val="26"/>
              </w:rPr>
              <w:t>64 573 800,00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145203">
              <w:rPr>
                <w:sz w:val="26"/>
                <w:szCs w:val="26"/>
              </w:rPr>
              <w:t>52 304 700,00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16 691 000,00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14 930 700,00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P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2C3528">
              <w:rPr>
                <w:sz w:val="26"/>
                <w:szCs w:val="26"/>
              </w:rPr>
              <w:t>12 269 100,00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3 915 200,00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3 502 300,00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C3528">
              <w:rPr>
                <w:sz w:val="26"/>
                <w:szCs w:val="26"/>
              </w:rPr>
              <w:t xml:space="preserve"> – 0 руб.</w:t>
            </w:r>
          </w:p>
          <w:p w:rsidR="001F10D9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20 606 200,00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18 433 000,00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lastRenderedPageBreak/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 реализации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Сроки реализации этапов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 xml:space="preserve">Непосредственные результаты реализации этапа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2021</w:t>
            </w:r>
            <w:r w:rsidR="000872A5">
              <w:rPr>
                <w:rStyle w:val="21"/>
              </w:rPr>
              <w:t>- 202</w:t>
            </w:r>
            <w:r>
              <w:rPr>
                <w:rStyle w:val="21"/>
              </w:rPr>
              <w:t>4</w:t>
            </w:r>
            <w:r w:rsidR="000872A5"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2022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261205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261205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2"/>
        <w:gridCol w:w="1547"/>
        <w:gridCol w:w="1158"/>
        <w:gridCol w:w="381"/>
        <w:gridCol w:w="710"/>
        <w:gridCol w:w="347"/>
        <w:gridCol w:w="1075"/>
        <w:gridCol w:w="205"/>
        <w:gridCol w:w="1212"/>
        <w:gridCol w:w="196"/>
        <w:gridCol w:w="771"/>
        <w:gridCol w:w="451"/>
        <w:gridCol w:w="168"/>
        <w:gridCol w:w="682"/>
      </w:tblGrid>
      <w:tr w:rsidR="00007352" w:rsidTr="005B4C6E">
        <w:trPr>
          <w:trHeight w:val="990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Tr="005B4C6E">
        <w:trPr>
          <w:trHeight w:val="435"/>
          <w:tblHeader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– 2024 годы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B4C6E" w:rsidTr="005B4C6E">
        <w:trPr>
          <w:trHeight w:val="1368"/>
          <w:tblHeader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25534600,00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20606200,00</w:t>
            </w: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18433000,00</w:t>
            </w:r>
          </w:p>
          <w:p w:rsidR="005B4C6E" w:rsidRDefault="005B4C6E" w:rsidP="006526E1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5B4C6E">
        <w:trPr>
          <w:trHeight w:val="9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5B4C6E">
        <w:trPr>
          <w:trHeight w:val="3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5B4C6E">
        <w:trPr>
          <w:trHeight w:val="2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F75404">
              <w:rPr>
                <w:b/>
                <w:sz w:val="24"/>
                <w:szCs w:val="24"/>
              </w:rPr>
              <w:t>64 573 800,00</w:t>
            </w:r>
          </w:p>
          <w:p w:rsidR="00007352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0872A5">
              <w:rPr>
                <w:b/>
                <w:sz w:val="24"/>
                <w:szCs w:val="24"/>
                <w:u w:val="single"/>
              </w:rPr>
              <w:t>2021 год</w:t>
            </w:r>
            <w:r w:rsidR="000872A5"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 w:rsidR="000872A5"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7693D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18 433 000,00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0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276"/>
        <w:gridCol w:w="137"/>
        <w:gridCol w:w="891"/>
      </w:tblGrid>
      <w:tr w:rsidR="00034628" w:rsidTr="00034628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75" w:type="dxa"/>
            <w:gridSpan w:val="5"/>
            <w:shd w:val="clear" w:color="auto" w:fill="auto"/>
          </w:tcPr>
          <w:p w:rsidR="00034628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34628" w:rsidTr="00034628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871,73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614,44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26"/>
        <w:gridCol w:w="18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Tr="006D712B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4851600,00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3502300,00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12269100,00</w:t>
            </w:r>
          </w:p>
        </w:tc>
      </w:tr>
      <w:tr w:rsidR="00E237B7" w:rsidTr="006D712B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20683000,00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14930700,00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52304700,00</w:t>
            </w:r>
          </w:p>
        </w:tc>
      </w:tr>
      <w:tr w:rsidR="00E237B7" w:rsidTr="006D712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25534600,00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20606200,00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18433000,00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64573800,00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5B10E7">
      <w:headerReference w:type="default" r:id="rId11"/>
      <w:pgSz w:w="11906" w:h="16838"/>
      <w:pgMar w:top="0" w:right="850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93" w:rsidRDefault="00BD4393" w:rsidP="00007352">
      <w:r>
        <w:separator/>
      </w:r>
    </w:p>
  </w:endnote>
  <w:endnote w:type="continuationSeparator" w:id="0">
    <w:p w:rsidR="00BD4393" w:rsidRDefault="00BD4393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93" w:rsidRDefault="00BD4393" w:rsidP="00007352">
      <w:r>
        <w:separator/>
      </w:r>
    </w:p>
  </w:footnote>
  <w:footnote w:type="continuationSeparator" w:id="0">
    <w:p w:rsidR="00BD4393" w:rsidRDefault="00BD4393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2B" w:rsidRPr="00011329" w:rsidRDefault="006D712B" w:rsidP="00011329">
    <w:pPr>
      <w:pStyle w:val="13"/>
      <w:jc w:val="right"/>
      <w:rPr>
        <w:b/>
      </w:rPr>
    </w:pPr>
    <w:r w:rsidRPr="00011329">
      <w:rPr>
        <w:b/>
      </w:rPr>
      <w:t xml:space="preserve">ПРОЕКТ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329"/>
    <w:rsid w:val="0001173A"/>
    <w:rsid w:val="00022D71"/>
    <w:rsid w:val="000338AA"/>
    <w:rsid w:val="00034628"/>
    <w:rsid w:val="000375F0"/>
    <w:rsid w:val="00056D6C"/>
    <w:rsid w:val="00072209"/>
    <w:rsid w:val="00085538"/>
    <w:rsid w:val="000872A5"/>
    <w:rsid w:val="000A17E9"/>
    <w:rsid w:val="000B15A1"/>
    <w:rsid w:val="000B5217"/>
    <w:rsid w:val="000B708A"/>
    <w:rsid w:val="000C6EF0"/>
    <w:rsid w:val="000C7F1F"/>
    <w:rsid w:val="000D65C9"/>
    <w:rsid w:val="000F13FE"/>
    <w:rsid w:val="000F537F"/>
    <w:rsid w:val="00123AB1"/>
    <w:rsid w:val="001305DD"/>
    <w:rsid w:val="00133C11"/>
    <w:rsid w:val="00143991"/>
    <w:rsid w:val="00145203"/>
    <w:rsid w:val="00150584"/>
    <w:rsid w:val="00155289"/>
    <w:rsid w:val="00166F8B"/>
    <w:rsid w:val="00173306"/>
    <w:rsid w:val="0017336C"/>
    <w:rsid w:val="00195247"/>
    <w:rsid w:val="001A6B91"/>
    <w:rsid w:val="001A76BC"/>
    <w:rsid w:val="001B012F"/>
    <w:rsid w:val="001B03EB"/>
    <w:rsid w:val="001F10D9"/>
    <w:rsid w:val="001F217F"/>
    <w:rsid w:val="00214002"/>
    <w:rsid w:val="00214854"/>
    <w:rsid w:val="00221050"/>
    <w:rsid w:val="0022521E"/>
    <w:rsid w:val="002277E1"/>
    <w:rsid w:val="0023260A"/>
    <w:rsid w:val="00234F73"/>
    <w:rsid w:val="00255655"/>
    <w:rsid w:val="00256114"/>
    <w:rsid w:val="0025779A"/>
    <w:rsid w:val="00257A36"/>
    <w:rsid w:val="00261205"/>
    <w:rsid w:val="0026139E"/>
    <w:rsid w:val="002712E8"/>
    <w:rsid w:val="0028647B"/>
    <w:rsid w:val="00287AC6"/>
    <w:rsid w:val="002B4C54"/>
    <w:rsid w:val="002C2013"/>
    <w:rsid w:val="002C2A0E"/>
    <w:rsid w:val="002C3528"/>
    <w:rsid w:val="002E0291"/>
    <w:rsid w:val="002F2460"/>
    <w:rsid w:val="002F3317"/>
    <w:rsid w:val="00321802"/>
    <w:rsid w:val="003458C8"/>
    <w:rsid w:val="00347FF5"/>
    <w:rsid w:val="00351856"/>
    <w:rsid w:val="00355FFB"/>
    <w:rsid w:val="00364C69"/>
    <w:rsid w:val="00387C40"/>
    <w:rsid w:val="0039079E"/>
    <w:rsid w:val="00392106"/>
    <w:rsid w:val="003940D9"/>
    <w:rsid w:val="003B03E9"/>
    <w:rsid w:val="003B3FA1"/>
    <w:rsid w:val="003C77EA"/>
    <w:rsid w:val="003C7976"/>
    <w:rsid w:val="0040782F"/>
    <w:rsid w:val="00416FFD"/>
    <w:rsid w:val="00426781"/>
    <w:rsid w:val="0045488E"/>
    <w:rsid w:val="00463BD5"/>
    <w:rsid w:val="00470165"/>
    <w:rsid w:val="0047575D"/>
    <w:rsid w:val="00476A01"/>
    <w:rsid w:val="004950B2"/>
    <w:rsid w:val="004B2CA5"/>
    <w:rsid w:val="00505715"/>
    <w:rsid w:val="00513BF2"/>
    <w:rsid w:val="00531EA4"/>
    <w:rsid w:val="00555861"/>
    <w:rsid w:val="00555B9E"/>
    <w:rsid w:val="00557A04"/>
    <w:rsid w:val="00561564"/>
    <w:rsid w:val="00564EF8"/>
    <w:rsid w:val="0057041A"/>
    <w:rsid w:val="0058059D"/>
    <w:rsid w:val="005820BE"/>
    <w:rsid w:val="005943C3"/>
    <w:rsid w:val="005974FE"/>
    <w:rsid w:val="005A1BAE"/>
    <w:rsid w:val="005B10E7"/>
    <w:rsid w:val="005B4C6E"/>
    <w:rsid w:val="005C0743"/>
    <w:rsid w:val="005D0990"/>
    <w:rsid w:val="005D18BB"/>
    <w:rsid w:val="005D1A01"/>
    <w:rsid w:val="005D3D59"/>
    <w:rsid w:val="005E22C3"/>
    <w:rsid w:val="006115AA"/>
    <w:rsid w:val="00637670"/>
    <w:rsid w:val="0064096A"/>
    <w:rsid w:val="006526E1"/>
    <w:rsid w:val="00664D33"/>
    <w:rsid w:val="00664F95"/>
    <w:rsid w:val="00667D01"/>
    <w:rsid w:val="006A2441"/>
    <w:rsid w:val="006A3994"/>
    <w:rsid w:val="006A58CF"/>
    <w:rsid w:val="006D5D98"/>
    <w:rsid w:val="006D712B"/>
    <w:rsid w:val="0070125A"/>
    <w:rsid w:val="007075B0"/>
    <w:rsid w:val="0073011F"/>
    <w:rsid w:val="00757B6D"/>
    <w:rsid w:val="007710F0"/>
    <w:rsid w:val="007907DA"/>
    <w:rsid w:val="007A61F0"/>
    <w:rsid w:val="007B37B4"/>
    <w:rsid w:val="007D0B81"/>
    <w:rsid w:val="00805B88"/>
    <w:rsid w:val="008151FB"/>
    <w:rsid w:val="008169D2"/>
    <w:rsid w:val="0083548F"/>
    <w:rsid w:val="0085639A"/>
    <w:rsid w:val="0086033D"/>
    <w:rsid w:val="0087693D"/>
    <w:rsid w:val="00876F57"/>
    <w:rsid w:val="0088162F"/>
    <w:rsid w:val="00885734"/>
    <w:rsid w:val="008A6679"/>
    <w:rsid w:val="008B46F3"/>
    <w:rsid w:val="008B7AFA"/>
    <w:rsid w:val="008C5352"/>
    <w:rsid w:val="008D58BD"/>
    <w:rsid w:val="00913D91"/>
    <w:rsid w:val="00915E7E"/>
    <w:rsid w:val="00924267"/>
    <w:rsid w:val="00924593"/>
    <w:rsid w:val="00933FD4"/>
    <w:rsid w:val="0094273F"/>
    <w:rsid w:val="00944145"/>
    <w:rsid w:val="0094611C"/>
    <w:rsid w:val="00946160"/>
    <w:rsid w:val="00951F21"/>
    <w:rsid w:val="0095662D"/>
    <w:rsid w:val="00967724"/>
    <w:rsid w:val="0098017E"/>
    <w:rsid w:val="00996E03"/>
    <w:rsid w:val="00997AC6"/>
    <w:rsid w:val="00997C87"/>
    <w:rsid w:val="009A0460"/>
    <w:rsid w:val="009A193B"/>
    <w:rsid w:val="009A79B4"/>
    <w:rsid w:val="009B6A2D"/>
    <w:rsid w:val="009D291D"/>
    <w:rsid w:val="009D6FEE"/>
    <w:rsid w:val="009E66AA"/>
    <w:rsid w:val="009F20E0"/>
    <w:rsid w:val="00A0252E"/>
    <w:rsid w:val="00A02A37"/>
    <w:rsid w:val="00A03F1C"/>
    <w:rsid w:val="00A219B7"/>
    <w:rsid w:val="00A22012"/>
    <w:rsid w:val="00A25B7F"/>
    <w:rsid w:val="00A27930"/>
    <w:rsid w:val="00A57214"/>
    <w:rsid w:val="00A6189D"/>
    <w:rsid w:val="00A72ADD"/>
    <w:rsid w:val="00A87026"/>
    <w:rsid w:val="00A924C1"/>
    <w:rsid w:val="00AA26D6"/>
    <w:rsid w:val="00AA49A5"/>
    <w:rsid w:val="00AB5360"/>
    <w:rsid w:val="00AB5D41"/>
    <w:rsid w:val="00AB64F4"/>
    <w:rsid w:val="00AD6F7D"/>
    <w:rsid w:val="00AF4453"/>
    <w:rsid w:val="00AF60B5"/>
    <w:rsid w:val="00B011CC"/>
    <w:rsid w:val="00B03137"/>
    <w:rsid w:val="00B26A5C"/>
    <w:rsid w:val="00B37883"/>
    <w:rsid w:val="00B74416"/>
    <w:rsid w:val="00B90FEE"/>
    <w:rsid w:val="00B93A42"/>
    <w:rsid w:val="00BB01A1"/>
    <w:rsid w:val="00BD1368"/>
    <w:rsid w:val="00BD4393"/>
    <w:rsid w:val="00BE0126"/>
    <w:rsid w:val="00BE1115"/>
    <w:rsid w:val="00BF35CA"/>
    <w:rsid w:val="00C03968"/>
    <w:rsid w:val="00C107E9"/>
    <w:rsid w:val="00C439E3"/>
    <w:rsid w:val="00C449DB"/>
    <w:rsid w:val="00C67575"/>
    <w:rsid w:val="00C754B3"/>
    <w:rsid w:val="00C76B73"/>
    <w:rsid w:val="00C7756B"/>
    <w:rsid w:val="00C77785"/>
    <w:rsid w:val="00CA56C8"/>
    <w:rsid w:val="00CC65BD"/>
    <w:rsid w:val="00D116CE"/>
    <w:rsid w:val="00D12743"/>
    <w:rsid w:val="00D158B2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B4C60"/>
    <w:rsid w:val="00DB6F0C"/>
    <w:rsid w:val="00DC0D43"/>
    <w:rsid w:val="00DD2D89"/>
    <w:rsid w:val="00DE0144"/>
    <w:rsid w:val="00DF21A6"/>
    <w:rsid w:val="00DF68A9"/>
    <w:rsid w:val="00E02FE7"/>
    <w:rsid w:val="00E132A1"/>
    <w:rsid w:val="00E237B7"/>
    <w:rsid w:val="00E3756E"/>
    <w:rsid w:val="00E451BB"/>
    <w:rsid w:val="00E46128"/>
    <w:rsid w:val="00E51E78"/>
    <w:rsid w:val="00E65B1D"/>
    <w:rsid w:val="00E83D37"/>
    <w:rsid w:val="00E85671"/>
    <w:rsid w:val="00EA1A7D"/>
    <w:rsid w:val="00EA23E0"/>
    <w:rsid w:val="00EB5F6C"/>
    <w:rsid w:val="00F15820"/>
    <w:rsid w:val="00F1591B"/>
    <w:rsid w:val="00F25775"/>
    <w:rsid w:val="00F43BDE"/>
    <w:rsid w:val="00F5577A"/>
    <w:rsid w:val="00F725CC"/>
    <w:rsid w:val="00F75404"/>
    <w:rsid w:val="00F82955"/>
    <w:rsid w:val="00FA0567"/>
    <w:rsid w:val="00FD14CD"/>
    <w:rsid w:val="00FD25C1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9C5F-71FC-418E-A12B-3E76B516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92</cp:revision>
  <cp:lastPrinted>2021-10-15T06:31:00Z</cp:lastPrinted>
  <dcterms:created xsi:type="dcterms:W3CDTF">2021-02-20T09:24:00Z</dcterms:created>
  <dcterms:modified xsi:type="dcterms:W3CDTF">2021-10-22T10:10:00Z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